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C9749" w14:textId="4371FEE7" w:rsidR="001E3165" w:rsidRDefault="00000000">
      <w:pPr>
        <w:ind w:firstLineChars="200" w:firstLine="723"/>
        <w:jc w:val="center"/>
        <w:rPr>
          <w:b/>
          <w:sz w:val="36"/>
          <w:szCs w:val="36"/>
        </w:rPr>
      </w:pPr>
      <w:r>
        <w:rPr>
          <w:rFonts w:hint="eastAsia"/>
          <w:b/>
          <w:sz w:val="36"/>
          <w:szCs w:val="36"/>
        </w:rPr>
        <w:t>《核电厂智慧消防系统设计要求</w:t>
      </w:r>
      <w:r>
        <w:rPr>
          <w:rFonts w:hint="eastAsia"/>
          <w:b/>
          <w:sz w:val="36"/>
          <w:szCs w:val="36"/>
        </w:rPr>
        <w:t xml:space="preserve"> </w:t>
      </w:r>
      <w:r>
        <w:rPr>
          <w:rFonts w:hint="eastAsia"/>
          <w:b/>
          <w:sz w:val="36"/>
          <w:szCs w:val="36"/>
        </w:rPr>
        <w:t>第</w:t>
      </w:r>
      <w:r>
        <w:rPr>
          <w:rFonts w:hint="eastAsia"/>
          <w:b/>
          <w:sz w:val="36"/>
          <w:szCs w:val="36"/>
        </w:rPr>
        <w:t>1</w:t>
      </w:r>
      <w:r>
        <w:rPr>
          <w:rFonts w:hint="eastAsia"/>
          <w:b/>
          <w:sz w:val="36"/>
          <w:szCs w:val="36"/>
        </w:rPr>
        <w:t>部分：</w:t>
      </w:r>
      <w:r w:rsidR="00D32420">
        <w:rPr>
          <w:rFonts w:hint="eastAsia"/>
          <w:b/>
          <w:sz w:val="36"/>
          <w:szCs w:val="36"/>
        </w:rPr>
        <w:t>总体要求</w:t>
      </w:r>
      <w:r>
        <w:rPr>
          <w:rFonts w:hint="eastAsia"/>
          <w:b/>
          <w:sz w:val="36"/>
          <w:szCs w:val="36"/>
        </w:rPr>
        <w:t>》编制说明</w:t>
      </w:r>
    </w:p>
    <w:p w14:paraId="4FA4BC96" w14:textId="77777777" w:rsidR="001E3165" w:rsidRDefault="00000000">
      <w:pPr>
        <w:ind w:firstLineChars="950" w:firstLine="3433"/>
        <w:rPr>
          <w:b/>
          <w:sz w:val="36"/>
          <w:szCs w:val="36"/>
        </w:rPr>
      </w:pPr>
      <w:r>
        <w:rPr>
          <w:rFonts w:hint="eastAsia"/>
          <w:b/>
          <w:sz w:val="36"/>
          <w:szCs w:val="36"/>
        </w:rPr>
        <w:t>（征求意见稿）</w:t>
      </w:r>
    </w:p>
    <w:p w14:paraId="7DE3A400" w14:textId="77777777" w:rsidR="001E3165" w:rsidRDefault="00000000">
      <w:pPr>
        <w:ind w:firstLineChars="200" w:firstLine="562"/>
        <w:rPr>
          <w:b/>
          <w:sz w:val="28"/>
          <w:szCs w:val="28"/>
        </w:rPr>
      </w:pPr>
      <w:r>
        <w:rPr>
          <w:rFonts w:hint="eastAsia"/>
          <w:b/>
          <w:sz w:val="28"/>
          <w:szCs w:val="28"/>
        </w:rPr>
        <w:t>一、工作简况</w:t>
      </w:r>
    </w:p>
    <w:p w14:paraId="21178837" w14:textId="77777777" w:rsidR="001E3165" w:rsidRDefault="00000000">
      <w:pPr>
        <w:ind w:firstLineChars="200" w:firstLine="482"/>
        <w:rPr>
          <w:rFonts w:asciiTheme="minorEastAsia" w:eastAsiaTheme="minorEastAsia" w:hAnsiTheme="minorEastAsia"/>
          <w:b/>
        </w:rPr>
      </w:pPr>
      <w:r>
        <w:rPr>
          <w:rFonts w:asciiTheme="minorEastAsia" w:eastAsiaTheme="minorEastAsia" w:hAnsiTheme="minorEastAsia" w:hint="eastAsia"/>
          <w:b/>
        </w:rPr>
        <w:t>1、任务来源</w:t>
      </w:r>
    </w:p>
    <w:p w14:paraId="1ED17555" w14:textId="5E6C6F18" w:rsidR="001E3165" w:rsidRDefault="00000000">
      <w:pPr>
        <w:ind w:firstLineChars="200" w:firstLine="480"/>
      </w:pPr>
      <w:r>
        <w:rPr>
          <w:rFonts w:hint="eastAsia"/>
        </w:rPr>
        <w:t>本标准制定任务由中国核能行业协会立项审批通过（</w:t>
      </w:r>
      <w:r>
        <w:rPr>
          <w:rFonts w:hint="eastAsia"/>
        </w:rPr>
        <w:t>2024</w:t>
      </w:r>
      <w:r>
        <w:rPr>
          <w:rFonts w:hint="eastAsia"/>
        </w:rPr>
        <w:t>年度），标准计划名称为《核电厂智慧消防系统设计要求</w:t>
      </w:r>
      <w:r>
        <w:rPr>
          <w:rFonts w:hint="eastAsia"/>
        </w:rPr>
        <w:t xml:space="preserve"> </w:t>
      </w:r>
      <w:r>
        <w:rPr>
          <w:rFonts w:hint="eastAsia"/>
        </w:rPr>
        <w:t>第</w:t>
      </w:r>
      <w:r>
        <w:rPr>
          <w:rFonts w:hint="eastAsia"/>
        </w:rPr>
        <w:t>1</w:t>
      </w:r>
      <w:r>
        <w:rPr>
          <w:rFonts w:hint="eastAsia"/>
        </w:rPr>
        <w:t>部分：</w:t>
      </w:r>
      <w:r w:rsidR="00D32420">
        <w:rPr>
          <w:rFonts w:hint="eastAsia"/>
        </w:rPr>
        <w:t>总体要求</w:t>
      </w:r>
      <w:r>
        <w:rPr>
          <w:rFonts w:hint="eastAsia"/>
        </w:rPr>
        <w:t>》。该标准由上海核工程研究设计院股份有限公司、</w:t>
      </w:r>
      <w:proofErr w:type="gramStart"/>
      <w:r>
        <w:rPr>
          <w:rFonts w:hint="eastAsia"/>
        </w:rPr>
        <w:t>中电投广西核电有限公司</w:t>
      </w:r>
      <w:proofErr w:type="gramEnd"/>
      <w:r>
        <w:rPr>
          <w:rFonts w:hint="eastAsia"/>
        </w:rPr>
        <w:t>主编，应急管理部沈阳消防研究所、天地融科技股份有限公司、国核电</w:t>
      </w:r>
      <w:proofErr w:type="gramStart"/>
      <w:r>
        <w:rPr>
          <w:rFonts w:hint="eastAsia"/>
        </w:rPr>
        <w:t>力规划</w:t>
      </w:r>
      <w:proofErr w:type="gramEnd"/>
      <w:r>
        <w:rPr>
          <w:rFonts w:hint="eastAsia"/>
        </w:rPr>
        <w:t>设计研究院有限公司参编，标准编制于</w:t>
      </w:r>
      <w:r>
        <w:rPr>
          <w:rFonts w:hint="eastAsia"/>
        </w:rPr>
        <w:t>2024</w:t>
      </w:r>
      <w:r>
        <w:rPr>
          <w:rFonts w:hint="eastAsia"/>
        </w:rPr>
        <w:t>年</w:t>
      </w:r>
      <w:r>
        <w:rPr>
          <w:rFonts w:hint="eastAsia"/>
        </w:rPr>
        <w:t>7</w:t>
      </w:r>
      <w:r>
        <w:rPr>
          <w:rFonts w:hint="eastAsia"/>
        </w:rPr>
        <w:t>月起编制。</w:t>
      </w:r>
    </w:p>
    <w:p w14:paraId="648EFF11" w14:textId="77777777" w:rsidR="001E3165" w:rsidRDefault="00000000">
      <w:pPr>
        <w:ind w:firstLineChars="200" w:firstLine="482"/>
        <w:rPr>
          <w:b/>
        </w:rPr>
      </w:pPr>
      <w:r>
        <w:rPr>
          <w:rFonts w:hint="eastAsia"/>
          <w:b/>
        </w:rPr>
        <w:t>2</w:t>
      </w:r>
      <w:r>
        <w:rPr>
          <w:rFonts w:hint="eastAsia"/>
          <w:b/>
        </w:rPr>
        <w:t>、主要工作过程</w:t>
      </w:r>
    </w:p>
    <w:p w14:paraId="5CDC0A10" w14:textId="6417E55E" w:rsidR="001E3165" w:rsidRDefault="00000000">
      <w:pPr>
        <w:ind w:firstLineChars="200" w:firstLine="480"/>
      </w:pPr>
      <w:r>
        <w:rPr>
          <w:rFonts w:hint="eastAsia"/>
        </w:rPr>
        <w:t>2023</w:t>
      </w:r>
      <w:r>
        <w:rPr>
          <w:rFonts w:hint="eastAsia"/>
        </w:rPr>
        <w:t>年</w:t>
      </w:r>
      <w:r>
        <w:rPr>
          <w:rFonts w:hint="eastAsia"/>
        </w:rPr>
        <w:t>7</w:t>
      </w:r>
      <w:r>
        <w:rPr>
          <w:rFonts w:hint="eastAsia"/>
        </w:rPr>
        <w:t>月起，由上海核工程研究设计院股份有限公司牵头，组织消防领域专家启动开展标准编制工作，并形成《核电厂智慧消防系统设计要求</w:t>
      </w:r>
      <w:r>
        <w:rPr>
          <w:rFonts w:hint="eastAsia"/>
        </w:rPr>
        <w:t xml:space="preserve"> </w:t>
      </w:r>
      <w:r>
        <w:rPr>
          <w:rFonts w:hint="eastAsia"/>
        </w:rPr>
        <w:t>第</w:t>
      </w:r>
      <w:r>
        <w:rPr>
          <w:rFonts w:hint="eastAsia"/>
        </w:rPr>
        <w:t>1</w:t>
      </w:r>
      <w:r>
        <w:rPr>
          <w:rFonts w:hint="eastAsia"/>
        </w:rPr>
        <w:t>部分：</w:t>
      </w:r>
      <w:r w:rsidR="00D32420">
        <w:rPr>
          <w:rFonts w:hint="eastAsia"/>
        </w:rPr>
        <w:t>总体要求</w:t>
      </w:r>
      <w:r>
        <w:rPr>
          <w:rFonts w:hint="eastAsia"/>
        </w:rPr>
        <w:t>》初稿。</w:t>
      </w:r>
    </w:p>
    <w:p w14:paraId="007AEE52" w14:textId="0CFB1C80" w:rsidR="001E3165" w:rsidRDefault="00000000">
      <w:pPr>
        <w:ind w:firstLineChars="200" w:firstLine="480"/>
      </w:pPr>
      <w:r>
        <w:rPr>
          <w:rFonts w:hint="eastAsia"/>
        </w:rPr>
        <w:t>2024</w:t>
      </w:r>
      <w:r>
        <w:rPr>
          <w:rFonts w:hint="eastAsia"/>
        </w:rPr>
        <w:t>年</w:t>
      </w:r>
      <w:r>
        <w:rPr>
          <w:rFonts w:hint="eastAsia"/>
        </w:rPr>
        <w:t>10</w:t>
      </w:r>
      <w:r>
        <w:rPr>
          <w:rFonts w:hint="eastAsia"/>
        </w:rPr>
        <w:t>月</w:t>
      </w:r>
      <w:r>
        <w:rPr>
          <w:rFonts w:hint="eastAsia"/>
        </w:rPr>
        <w:t>10</w:t>
      </w:r>
      <w:r>
        <w:rPr>
          <w:rFonts w:hint="eastAsia"/>
        </w:rPr>
        <w:t>日，中国核能行业协会</w:t>
      </w:r>
      <w:proofErr w:type="gramStart"/>
      <w:r>
        <w:rPr>
          <w:rFonts w:hint="eastAsia"/>
        </w:rPr>
        <w:t>召开团标立项</w:t>
      </w:r>
      <w:proofErr w:type="gramEnd"/>
      <w:r>
        <w:rPr>
          <w:rFonts w:hint="eastAsia"/>
        </w:rPr>
        <w:t>评审会，会议通过了《核电厂智慧消防系统设计要求</w:t>
      </w:r>
      <w:r>
        <w:rPr>
          <w:rFonts w:hint="eastAsia"/>
        </w:rPr>
        <w:t xml:space="preserve"> </w:t>
      </w:r>
      <w:r>
        <w:rPr>
          <w:rFonts w:hint="eastAsia"/>
        </w:rPr>
        <w:t>第</w:t>
      </w:r>
      <w:r>
        <w:rPr>
          <w:rFonts w:hint="eastAsia"/>
        </w:rPr>
        <w:t>1</w:t>
      </w:r>
      <w:r>
        <w:rPr>
          <w:rFonts w:hint="eastAsia"/>
        </w:rPr>
        <w:t>部分：</w:t>
      </w:r>
      <w:r w:rsidR="00D32420">
        <w:rPr>
          <w:rFonts w:hint="eastAsia"/>
        </w:rPr>
        <w:t>总体要求</w:t>
      </w:r>
      <w:r>
        <w:rPr>
          <w:rFonts w:hint="eastAsia"/>
        </w:rPr>
        <w:t>》的立项审查，并提出了建设性意见。</w:t>
      </w:r>
    </w:p>
    <w:p w14:paraId="07155F7D" w14:textId="64FF823C" w:rsidR="001E3165" w:rsidRDefault="00000000">
      <w:pPr>
        <w:ind w:firstLineChars="200" w:firstLine="480"/>
      </w:pPr>
      <w:r>
        <w:rPr>
          <w:rFonts w:hint="eastAsia"/>
        </w:rPr>
        <w:t>建议</w:t>
      </w:r>
      <w:r w:rsidR="00D32420">
        <w:rPr>
          <w:rFonts w:hint="eastAsia"/>
        </w:rPr>
        <w:t xml:space="preserve"> </w:t>
      </w:r>
      <w:r w:rsidR="00D32420">
        <w:rPr>
          <w:rFonts w:hint="eastAsia"/>
        </w:rPr>
        <w:t>1</w:t>
      </w:r>
      <w:r>
        <w:rPr>
          <w:rFonts w:hint="eastAsia"/>
        </w:rPr>
        <w:t>：该标准建议做成系列标准。</w:t>
      </w:r>
    </w:p>
    <w:p w14:paraId="59FCEB84" w14:textId="2C85E486" w:rsidR="001E3165" w:rsidRDefault="00000000">
      <w:pPr>
        <w:ind w:firstLineChars="200" w:firstLine="480"/>
      </w:pPr>
      <w:r>
        <w:rPr>
          <w:rFonts w:hint="eastAsia"/>
        </w:rPr>
        <w:t>改进</w:t>
      </w:r>
      <w:r>
        <w:rPr>
          <w:rFonts w:hint="eastAsia"/>
        </w:rPr>
        <w:t>1</w:t>
      </w:r>
      <w:r>
        <w:rPr>
          <w:rFonts w:hint="eastAsia"/>
        </w:rPr>
        <w:t>：将该标准名称由《核电厂智慧消防系统设计要求》修改为《核电厂智慧消防系统设计要求</w:t>
      </w:r>
      <w:r>
        <w:rPr>
          <w:rFonts w:hint="eastAsia"/>
        </w:rPr>
        <w:t xml:space="preserve"> </w:t>
      </w:r>
      <w:r>
        <w:rPr>
          <w:rFonts w:hint="eastAsia"/>
        </w:rPr>
        <w:t>第</w:t>
      </w:r>
      <w:r>
        <w:rPr>
          <w:rFonts w:hint="eastAsia"/>
        </w:rPr>
        <w:t>1</w:t>
      </w:r>
      <w:r>
        <w:rPr>
          <w:rFonts w:hint="eastAsia"/>
        </w:rPr>
        <w:t>部分：</w:t>
      </w:r>
      <w:r w:rsidR="00D32420">
        <w:rPr>
          <w:rFonts w:hint="eastAsia"/>
        </w:rPr>
        <w:t>总体要求</w:t>
      </w:r>
      <w:r>
        <w:rPr>
          <w:rFonts w:hint="eastAsia"/>
        </w:rPr>
        <w:t>》。</w:t>
      </w:r>
    </w:p>
    <w:p w14:paraId="56E419A1" w14:textId="77777777" w:rsidR="001E3165" w:rsidRDefault="00000000">
      <w:pPr>
        <w:ind w:firstLineChars="200" w:firstLine="480"/>
      </w:pPr>
      <w:r>
        <w:rPr>
          <w:rFonts w:hint="eastAsia"/>
        </w:rPr>
        <w:t>建议</w:t>
      </w:r>
      <w:r>
        <w:rPr>
          <w:rFonts w:hint="eastAsia"/>
        </w:rPr>
        <w:t>2</w:t>
      </w:r>
      <w:r>
        <w:rPr>
          <w:rFonts w:hint="eastAsia"/>
        </w:rPr>
        <w:t>：将“消防水管网泄露监测装置”纳入考虑范围。</w:t>
      </w:r>
    </w:p>
    <w:p w14:paraId="07B82296" w14:textId="77777777" w:rsidR="001E3165" w:rsidRDefault="00000000">
      <w:pPr>
        <w:ind w:firstLineChars="200" w:firstLine="480"/>
      </w:pPr>
      <w:r>
        <w:rPr>
          <w:rFonts w:hint="eastAsia"/>
        </w:rPr>
        <w:t>改进</w:t>
      </w:r>
      <w:r>
        <w:rPr>
          <w:rFonts w:hint="eastAsia"/>
        </w:rPr>
        <w:t>2</w:t>
      </w:r>
      <w:r>
        <w:rPr>
          <w:rFonts w:hint="eastAsia"/>
        </w:rPr>
        <w:t>：已在该标准</w:t>
      </w:r>
      <w:r>
        <w:rPr>
          <w:rFonts w:hint="eastAsia"/>
        </w:rPr>
        <w:t>5.1 5</w:t>
      </w:r>
      <w:r>
        <w:rPr>
          <w:rFonts w:hint="eastAsia"/>
        </w:rPr>
        <w:t>）章节中补充。</w:t>
      </w:r>
    </w:p>
    <w:p w14:paraId="3E1399F3" w14:textId="77777777" w:rsidR="001E3165" w:rsidRDefault="00000000">
      <w:pPr>
        <w:ind w:firstLineChars="200" w:firstLine="480"/>
      </w:pPr>
      <w:r>
        <w:rPr>
          <w:rFonts w:hint="eastAsia"/>
        </w:rPr>
        <w:t>建议</w:t>
      </w:r>
      <w:r>
        <w:rPr>
          <w:rFonts w:hint="eastAsia"/>
        </w:rPr>
        <w:t>3</w:t>
      </w:r>
      <w:r>
        <w:rPr>
          <w:rFonts w:hint="eastAsia"/>
        </w:rPr>
        <w:t>：</w:t>
      </w:r>
      <w:proofErr w:type="gramStart"/>
      <w:r>
        <w:rPr>
          <w:rFonts w:hint="eastAsia"/>
        </w:rPr>
        <w:t>智慧消防</w:t>
      </w:r>
      <w:proofErr w:type="gramEnd"/>
      <w:r>
        <w:rPr>
          <w:rFonts w:hint="eastAsia"/>
        </w:rPr>
        <w:t>平台中增加“消防设施可用率”模块。</w:t>
      </w:r>
    </w:p>
    <w:p w14:paraId="1105E7BB" w14:textId="77777777" w:rsidR="001E3165" w:rsidRDefault="00000000">
      <w:pPr>
        <w:ind w:firstLineChars="200" w:firstLine="480"/>
      </w:pPr>
      <w:r>
        <w:rPr>
          <w:rFonts w:hint="eastAsia"/>
        </w:rPr>
        <w:t>改进</w:t>
      </w:r>
      <w:r>
        <w:rPr>
          <w:rFonts w:hint="eastAsia"/>
        </w:rPr>
        <w:t>3</w:t>
      </w:r>
      <w:r>
        <w:rPr>
          <w:rFonts w:hint="eastAsia"/>
        </w:rPr>
        <w:t>：已在该标准</w:t>
      </w:r>
      <w:r>
        <w:rPr>
          <w:rFonts w:hint="eastAsia"/>
        </w:rPr>
        <w:t>14.1</w:t>
      </w:r>
      <w:r>
        <w:rPr>
          <w:rFonts w:hint="eastAsia"/>
        </w:rPr>
        <w:t>章节中补充。</w:t>
      </w:r>
    </w:p>
    <w:p w14:paraId="2A97AC5A" w14:textId="77777777" w:rsidR="001E3165" w:rsidRDefault="00000000">
      <w:pPr>
        <w:ind w:firstLineChars="200" w:firstLine="480"/>
      </w:pPr>
      <w:r>
        <w:rPr>
          <w:rFonts w:hint="eastAsia"/>
        </w:rPr>
        <w:t>建议</w:t>
      </w:r>
      <w:r>
        <w:rPr>
          <w:rFonts w:hint="eastAsia"/>
        </w:rPr>
        <w:t>4</w:t>
      </w:r>
      <w:r>
        <w:rPr>
          <w:rFonts w:hint="eastAsia"/>
        </w:rPr>
        <w:t>：智慧消防系统及平台中增加各类防火屏障信息的管理和动火作业管理；</w:t>
      </w:r>
    </w:p>
    <w:p w14:paraId="17BBD41C" w14:textId="77777777" w:rsidR="001E3165" w:rsidRDefault="00000000">
      <w:pPr>
        <w:ind w:firstLineChars="200" w:firstLine="480"/>
      </w:pPr>
      <w:r>
        <w:rPr>
          <w:rFonts w:hint="eastAsia"/>
        </w:rPr>
        <w:t>改进</w:t>
      </w:r>
      <w:r>
        <w:rPr>
          <w:rFonts w:hint="eastAsia"/>
        </w:rPr>
        <w:t>4</w:t>
      </w:r>
      <w:r>
        <w:rPr>
          <w:rFonts w:hint="eastAsia"/>
        </w:rPr>
        <w:t>：：已在该标准</w:t>
      </w:r>
      <w:r>
        <w:rPr>
          <w:rFonts w:hint="eastAsia"/>
        </w:rPr>
        <w:t>14.1</w:t>
      </w:r>
      <w:r>
        <w:rPr>
          <w:rFonts w:hint="eastAsia"/>
        </w:rPr>
        <w:t>、</w:t>
      </w:r>
      <w:r>
        <w:rPr>
          <w:rFonts w:hint="eastAsia"/>
        </w:rPr>
        <w:t>14.3</w:t>
      </w:r>
      <w:r>
        <w:rPr>
          <w:rFonts w:hint="eastAsia"/>
        </w:rPr>
        <w:t>章节中补充。</w:t>
      </w:r>
    </w:p>
    <w:p w14:paraId="1BC500BA" w14:textId="77777777" w:rsidR="001E3165" w:rsidRDefault="00000000">
      <w:pPr>
        <w:ind w:firstLineChars="200" w:firstLine="480"/>
      </w:pPr>
      <w:r>
        <w:rPr>
          <w:rFonts w:hint="eastAsia"/>
        </w:rPr>
        <w:t>建议</w:t>
      </w:r>
      <w:r>
        <w:rPr>
          <w:rFonts w:hint="eastAsia"/>
        </w:rPr>
        <w:t>5</w:t>
      </w:r>
      <w:r>
        <w:rPr>
          <w:rFonts w:hint="eastAsia"/>
        </w:rPr>
        <w:t>：考虑智慧消防系统与消防救援队伍的联动功能；</w:t>
      </w:r>
    </w:p>
    <w:p w14:paraId="6FB9AF24" w14:textId="77777777" w:rsidR="001E3165" w:rsidRDefault="00000000">
      <w:pPr>
        <w:ind w:firstLineChars="200" w:firstLine="480"/>
      </w:pPr>
      <w:r>
        <w:rPr>
          <w:rFonts w:hint="eastAsia"/>
        </w:rPr>
        <w:t>改进</w:t>
      </w:r>
      <w:r>
        <w:rPr>
          <w:rFonts w:hint="eastAsia"/>
        </w:rPr>
        <w:t>5</w:t>
      </w:r>
      <w:r>
        <w:rPr>
          <w:rFonts w:hint="eastAsia"/>
        </w:rPr>
        <w:t>：已在该标准</w:t>
      </w:r>
      <w:r>
        <w:rPr>
          <w:rFonts w:hint="eastAsia"/>
        </w:rPr>
        <w:t>14.5</w:t>
      </w:r>
      <w:r>
        <w:rPr>
          <w:rFonts w:hint="eastAsia"/>
        </w:rPr>
        <w:t>章节中补充。</w:t>
      </w:r>
    </w:p>
    <w:p w14:paraId="4180F489" w14:textId="77777777" w:rsidR="001E3165" w:rsidRDefault="00000000">
      <w:pPr>
        <w:ind w:firstLineChars="200" w:firstLine="480"/>
      </w:pPr>
      <w:r>
        <w:rPr>
          <w:rFonts w:hint="eastAsia"/>
        </w:rPr>
        <w:t>建议</w:t>
      </w:r>
      <w:r>
        <w:rPr>
          <w:rFonts w:hint="eastAsia"/>
        </w:rPr>
        <w:t>6</w:t>
      </w:r>
      <w:r>
        <w:rPr>
          <w:rFonts w:hint="eastAsia"/>
        </w:rPr>
        <w:t>：智慧平台中增加</w:t>
      </w:r>
      <w:proofErr w:type="gramStart"/>
      <w:r>
        <w:rPr>
          <w:rFonts w:hint="eastAsia"/>
        </w:rPr>
        <w:t>电子消防</w:t>
      </w:r>
      <w:proofErr w:type="gramEnd"/>
      <w:r>
        <w:rPr>
          <w:rFonts w:hint="eastAsia"/>
        </w:rPr>
        <w:t>行动卡、</w:t>
      </w:r>
      <w:proofErr w:type="gramStart"/>
      <w:r>
        <w:rPr>
          <w:rFonts w:hint="eastAsia"/>
        </w:rPr>
        <w:t>电子消防</w:t>
      </w:r>
      <w:proofErr w:type="gramEnd"/>
      <w:r>
        <w:rPr>
          <w:rFonts w:hint="eastAsia"/>
        </w:rPr>
        <w:t>管理文件以及</w:t>
      </w:r>
      <w:proofErr w:type="gramStart"/>
      <w:r>
        <w:rPr>
          <w:rFonts w:hint="eastAsia"/>
        </w:rPr>
        <w:t>电子消防</w:t>
      </w:r>
      <w:proofErr w:type="gramEnd"/>
      <w:r>
        <w:rPr>
          <w:rFonts w:hint="eastAsia"/>
        </w:rPr>
        <w:t>运维记录；</w:t>
      </w:r>
    </w:p>
    <w:p w14:paraId="0B31FA5F" w14:textId="77777777" w:rsidR="001E3165" w:rsidRDefault="00000000">
      <w:pPr>
        <w:ind w:firstLineChars="200" w:firstLine="480"/>
      </w:pPr>
      <w:r>
        <w:rPr>
          <w:rFonts w:hint="eastAsia"/>
        </w:rPr>
        <w:t>改进</w:t>
      </w:r>
      <w:r>
        <w:rPr>
          <w:rFonts w:hint="eastAsia"/>
        </w:rPr>
        <w:t>6</w:t>
      </w:r>
      <w:r>
        <w:rPr>
          <w:rFonts w:hint="eastAsia"/>
        </w:rPr>
        <w:t>：已在该标准</w:t>
      </w:r>
      <w:r>
        <w:rPr>
          <w:rFonts w:hint="eastAsia"/>
        </w:rPr>
        <w:t>14.4</w:t>
      </w:r>
      <w:r>
        <w:rPr>
          <w:rFonts w:hint="eastAsia"/>
        </w:rPr>
        <w:t>章节中补充。</w:t>
      </w:r>
    </w:p>
    <w:p w14:paraId="175ED6BF" w14:textId="77777777" w:rsidR="001E3165" w:rsidRDefault="00000000">
      <w:pPr>
        <w:ind w:firstLineChars="200" w:firstLine="482"/>
        <w:rPr>
          <w:b/>
        </w:rPr>
      </w:pPr>
      <w:r>
        <w:rPr>
          <w:rFonts w:hint="eastAsia"/>
          <w:b/>
        </w:rPr>
        <w:t>3</w:t>
      </w:r>
      <w:r>
        <w:rPr>
          <w:rFonts w:hint="eastAsia"/>
          <w:b/>
        </w:rPr>
        <w:t>、主要参加单位和工作组成员及其所作的工作等</w:t>
      </w:r>
    </w:p>
    <w:p w14:paraId="2C6114C3" w14:textId="77777777" w:rsidR="001E3165" w:rsidRDefault="00000000">
      <w:pPr>
        <w:ind w:firstLineChars="200" w:firstLine="480"/>
      </w:pPr>
      <w:r>
        <w:rPr>
          <w:rFonts w:hint="eastAsia"/>
        </w:rPr>
        <w:t>本标准的主要起草单位包括上海核工程研究设计院股份有限公司、</w:t>
      </w:r>
      <w:proofErr w:type="gramStart"/>
      <w:r>
        <w:rPr>
          <w:rFonts w:hint="eastAsia"/>
        </w:rPr>
        <w:t>中电投广西核电有限公司</w:t>
      </w:r>
      <w:proofErr w:type="gramEnd"/>
      <w:r>
        <w:rPr>
          <w:rFonts w:hint="eastAsia"/>
        </w:rPr>
        <w:t>、应急管理部沈阳消防研究所、天地融科技股份有限公司、国核电</w:t>
      </w:r>
      <w:proofErr w:type="gramStart"/>
      <w:r>
        <w:rPr>
          <w:rFonts w:hint="eastAsia"/>
        </w:rPr>
        <w:t>力规划</w:t>
      </w:r>
      <w:proofErr w:type="gramEnd"/>
      <w:r>
        <w:rPr>
          <w:rFonts w:hint="eastAsia"/>
        </w:rPr>
        <w:t>设计研究院有限公司，其中上海核工程研究设计院股份有限公司、</w:t>
      </w:r>
      <w:proofErr w:type="gramStart"/>
      <w:r>
        <w:rPr>
          <w:rFonts w:hint="eastAsia"/>
        </w:rPr>
        <w:t>中电投广西核电有限公司</w:t>
      </w:r>
      <w:proofErr w:type="gramEnd"/>
      <w:r>
        <w:rPr>
          <w:rFonts w:hint="eastAsia"/>
        </w:rPr>
        <w:t>负责标准的主要策划和编制，应急管理部沈阳消防研究所、天地融科技股份有限公司、国核电</w:t>
      </w:r>
      <w:proofErr w:type="gramStart"/>
      <w:r>
        <w:rPr>
          <w:rFonts w:hint="eastAsia"/>
        </w:rPr>
        <w:t>力规划</w:t>
      </w:r>
      <w:proofErr w:type="gramEnd"/>
      <w:r>
        <w:rPr>
          <w:rFonts w:hint="eastAsia"/>
        </w:rPr>
        <w:t>设计研究院有限公司负责标准的进一步审核和校对。</w:t>
      </w:r>
    </w:p>
    <w:p w14:paraId="2366393C" w14:textId="77777777" w:rsidR="001E3165" w:rsidRDefault="00000000">
      <w:pPr>
        <w:ind w:firstLineChars="200" w:firstLine="562"/>
        <w:rPr>
          <w:b/>
          <w:sz w:val="28"/>
          <w:szCs w:val="28"/>
        </w:rPr>
      </w:pPr>
      <w:r>
        <w:rPr>
          <w:rFonts w:hint="eastAsia"/>
          <w:b/>
          <w:sz w:val="28"/>
          <w:szCs w:val="28"/>
        </w:rPr>
        <w:lastRenderedPageBreak/>
        <w:t>二、标准编制原则和主要内容</w:t>
      </w:r>
    </w:p>
    <w:p w14:paraId="23AE75B6" w14:textId="77777777" w:rsidR="001E3165" w:rsidRDefault="00000000">
      <w:pPr>
        <w:ind w:firstLineChars="200" w:firstLine="482"/>
        <w:rPr>
          <w:b/>
        </w:rPr>
      </w:pPr>
      <w:r>
        <w:rPr>
          <w:rFonts w:hint="eastAsia"/>
          <w:b/>
        </w:rPr>
        <w:t>1</w:t>
      </w:r>
      <w:r>
        <w:rPr>
          <w:rFonts w:hint="eastAsia"/>
          <w:b/>
        </w:rPr>
        <w:t>、标准编制原则</w:t>
      </w:r>
    </w:p>
    <w:p w14:paraId="76E68275" w14:textId="77777777" w:rsidR="001E3165" w:rsidRDefault="00000000">
      <w:pPr>
        <w:ind w:firstLineChars="200" w:firstLine="480"/>
      </w:pPr>
      <w:r>
        <w:rPr>
          <w:rFonts w:hint="eastAsia"/>
        </w:rPr>
        <w:t>本标准的编制符合核电行业安全管理原则，本着先进性、科学性、合理性和可操作性的原则以及标准的目标、统一性、协调性、实用性、一致性和规范性原则来进行本标准的制定工作。</w:t>
      </w:r>
    </w:p>
    <w:p w14:paraId="0427BD51" w14:textId="77777777" w:rsidR="001E3165" w:rsidRDefault="00000000">
      <w:pPr>
        <w:ind w:firstLineChars="200" w:firstLine="480"/>
      </w:pPr>
      <w:r>
        <w:rPr>
          <w:rFonts w:hint="eastAsia"/>
        </w:rPr>
        <w:t>（</w:t>
      </w:r>
      <w:r>
        <w:rPr>
          <w:rFonts w:hint="eastAsia"/>
        </w:rPr>
        <w:t>1</w:t>
      </w:r>
      <w:r>
        <w:rPr>
          <w:rFonts w:hint="eastAsia"/>
        </w:rPr>
        <w:t>）科学性</w:t>
      </w:r>
    </w:p>
    <w:p w14:paraId="039674D1" w14:textId="77777777" w:rsidR="001E3165" w:rsidRDefault="00000000">
      <w:pPr>
        <w:ind w:firstLineChars="200" w:firstLine="480"/>
      </w:pPr>
      <w:r>
        <w:rPr>
          <w:rFonts w:hint="eastAsia"/>
        </w:rPr>
        <w:t>本标准对核电厂智慧消防系统的设计和功能要求进行规定，同时结合我国《消防设施通用规范》等国标对本团体标准进行编写。</w:t>
      </w:r>
    </w:p>
    <w:p w14:paraId="3E0C25BB" w14:textId="77777777" w:rsidR="001E3165" w:rsidRDefault="00000000">
      <w:pPr>
        <w:ind w:firstLineChars="200" w:firstLine="480"/>
      </w:pPr>
      <w:r>
        <w:rPr>
          <w:rFonts w:hint="eastAsia"/>
        </w:rPr>
        <w:t>（</w:t>
      </w:r>
      <w:r>
        <w:rPr>
          <w:rFonts w:hint="eastAsia"/>
        </w:rPr>
        <w:t>2</w:t>
      </w:r>
      <w:r>
        <w:rPr>
          <w:rFonts w:hint="eastAsia"/>
        </w:rPr>
        <w:t>）实用性</w:t>
      </w:r>
    </w:p>
    <w:p w14:paraId="73104C6D" w14:textId="77777777" w:rsidR="001E3165" w:rsidRDefault="00000000">
      <w:pPr>
        <w:ind w:firstLineChars="200" w:firstLine="480"/>
      </w:pPr>
      <w:r>
        <w:rPr>
          <w:rFonts w:hint="eastAsia"/>
        </w:rPr>
        <w:t>当前国家对消防系统设计有强制性国标和消防系统设计行业标准以外，暂无有针对性的核电厂智慧消防系统设计规定。本标准制定核电厂针对性的智慧消防系统设计规定，有利于提高核电厂的火灾预防和应急管理水平。相应的标准均通过施工设计经验进行的总结。</w:t>
      </w:r>
    </w:p>
    <w:p w14:paraId="5350D51A" w14:textId="77777777" w:rsidR="001E3165" w:rsidRDefault="00000000">
      <w:pPr>
        <w:ind w:firstLineChars="200" w:firstLine="482"/>
        <w:rPr>
          <w:b/>
        </w:rPr>
      </w:pPr>
      <w:r>
        <w:rPr>
          <w:rFonts w:hint="eastAsia"/>
          <w:b/>
        </w:rPr>
        <w:t>2</w:t>
      </w:r>
      <w:r>
        <w:rPr>
          <w:rFonts w:hint="eastAsia"/>
          <w:b/>
        </w:rPr>
        <w:t>、标准主要内容的依据</w:t>
      </w:r>
    </w:p>
    <w:p w14:paraId="5F0C28AD" w14:textId="77777777" w:rsidR="001E3165" w:rsidRDefault="00000000">
      <w:pPr>
        <w:ind w:firstLineChars="200" w:firstLine="480"/>
      </w:pPr>
      <w:r>
        <w:rPr>
          <w:rFonts w:hint="eastAsia"/>
        </w:rPr>
        <w:t>标准编写的格式遵从</w:t>
      </w:r>
      <w:r>
        <w:rPr>
          <w:rFonts w:hint="eastAsia"/>
        </w:rPr>
        <w:t>GB/T 1.1-2009</w:t>
      </w:r>
      <w:r>
        <w:rPr>
          <w:rFonts w:hint="eastAsia"/>
        </w:rPr>
        <w:t>的要求。</w:t>
      </w:r>
    </w:p>
    <w:p w14:paraId="708153B4" w14:textId="77777777" w:rsidR="001E3165" w:rsidRDefault="00000000">
      <w:pPr>
        <w:ind w:firstLineChars="200" w:firstLine="480"/>
      </w:pPr>
      <w:r>
        <w:rPr>
          <w:rFonts w:hint="eastAsia"/>
        </w:rPr>
        <w:t>本标准参考国家标准《建筑防火通用规范》（</w:t>
      </w:r>
      <w:r>
        <w:rPr>
          <w:rFonts w:hint="eastAsia"/>
        </w:rPr>
        <w:t>GB 55037-2022</w:t>
      </w:r>
      <w:r>
        <w:rPr>
          <w:rFonts w:hint="eastAsia"/>
        </w:rPr>
        <w:t>）、</w:t>
      </w:r>
      <w:proofErr w:type="gramStart"/>
      <w:r>
        <w:rPr>
          <w:rFonts w:hint="eastAsia"/>
        </w:rPr>
        <w:t>《</w:t>
      </w:r>
      <w:proofErr w:type="gramEnd"/>
      <w:r>
        <w:rPr>
          <w:rFonts w:hint="eastAsia"/>
        </w:rPr>
        <w:t>消防设施通用规范（</w:t>
      </w:r>
      <w:r>
        <w:rPr>
          <w:rFonts w:hint="eastAsia"/>
        </w:rPr>
        <w:t>GB 55036-2022</w:t>
      </w:r>
      <w:r>
        <w:rPr>
          <w:rFonts w:hint="eastAsia"/>
        </w:rPr>
        <w:t>）和</w:t>
      </w:r>
      <w:proofErr w:type="gramStart"/>
      <w:r>
        <w:rPr>
          <w:rFonts w:hint="eastAsia"/>
        </w:rPr>
        <w:t>导则《</w:t>
      </w:r>
      <w:proofErr w:type="gramEnd"/>
      <w:r>
        <w:rPr>
          <w:rFonts w:hint="eastAsia"/>
        </w:rPr>
        <w:t>核动力厂防火与防爆设计</w:t>
      </w:r>
      <w:proofErr w:type="gramStart"/>
      <w:r>
        <w:rPr>
          <w:rFonts w:hint="eastAsia"/>
        </w:rPr>
        <w:t>》</w:t>
      </w:r>
      <w:proofErr w:type="gramEnd"/>
      <w:r>
        <w:rPr>
          <w:rFonts w:hint="eastAsia"/>
        </w:rPr>
        <w:t>（</w:t>
      </w:r>
      <w:r>
        <w:rPr>
          <w:rFonts w:hint="eastAsia"/>
        </w:rPr>
        <w:t>HAD 102/11-2019</w:t>
      </w:r>
      <w:r>
        <w:rPr>
          <w:rFonts w:hint="eastAsia"/>
        </w:rPr>
        <w:t>），制定的相关标准均来源于国家标准，符合国家标准。</w:t>
      </w:r>
    </w:p>
    <w:p w14:paraId="2C751EF2" w14:textId="77777777" w:rsidR="001E3165" w:rsidRDefault="00000000">
      <w:pPr>
        <w:ind w:firstLineChars="200" w:firstLine="482"/>
        <w:rPr>
          <w:b/>
        </w:rPr>
      </w:pPr>
      <w:r>
        <w:rPr>
          <w:rFonts w:hint="eastAsia"/>
          <w:b/>
        </w:rPr>
        <w:t>3</w:t>
      </w:r>
      <w:r>
        <w:rPr>
          <w:rFonts w:hint="eastAsia"/>
          <w:b/>
        </w:rPr>
        <w:t>、解决的主要问题</w:t>
      </w:r>
    </w:p>
    <w:p w14:paraId="2430FBD0" w14:textId="77777777" w:rsidR="001E3165" w:rsidRDefault="00000000">
      <w:pPr>
        <w:ind w:firstLineChars="200" w:firstLine="480"/>
      </w:pPr>
      <w:r>
        <w:rPr>
          <w:rFonts w:hint="eastAsia"/>
        </w:rPr>
        <w:t>目前由于缺乏核电厂智慧消防系统统一的设计标准，各核电厂在智慧消防系统的设计中存在基础共性不一致、互通共享不便等问题。制定标准不仅能规范技术应用，确保系统的稳定性和可靠性，显著提升核电厂的火灾预防和应急管理水平，同时通过对智慧消防系统设计标准化，更有利于监管部门对各电厂消防系统情况进行监测管理。</w:t>
      </w:r>
    </w:p>
    <w:p w14:paraId="0639227F" w14:textId="77777777" w:rsidR="001E3165" w:rsidRDefault="00000000">
      <w:pPr>
        <w:ind w:firstLineChars="200" w:firstLine="562"/>
        <w:rPr>
          <w:b/>
          <w:sz w:val="28"/>
          <w:szCs w:val="28"/>
        </w:rPr>
      </w:pPr>
      <w:r>
        <w:rPr>
          <w:rFonts w:hint="eastAsia"/>
          <w:b/>
          <w:sz w:val="28"/>
          <w:szCs w:val="28"/>
        </w:rPr>
        <w:t>三、主要试验（或验证）情况</w:t>
      </w:r>
    </w:p>
    <w:p w14:paraId="58ED23FF" w14:textId="77777777" w:rsidR="001E3165" w:rsidRDefault="00000000">
      <w:pPr>
        <w:ind w:firstLineChars="200" w:firstLine="480"/>
      </w:pPr>
      <w:r>
        <w:rPr>
          <w:rFonts w:hint="eastAsia"/>
        </w:rPr>
        <w:t>本标准不涉及相关试验。</w:t>
      </w:r>
    </w:p>
    <w:p w14:paraId="1C8AE0E1" w14:textId="77777777" w:rsidR="001E3165" w:rsidRDefault="00000000">
      <w:pPr>
        <w:ind w:firstLineChars="200" w:firstLine="562"/>
        <w:rPr>
          <w:b/>
          <w:sz w:val="28"/>
          <w:szCs w:val="28"/>
        </w:rPr>
      </w:pPr>
      <w:r>
        <w:rPr>
          <w:rFonts w:hint="eastAsia"/>
          <w:b/>
          <w:sz w:val="28"/>
          <w:szCs w:val="28"/>
        </w:rPr>
        <w:t>四、标准中涉及专利的情况</w:t>
      </w:r>
    </w:p>
    <w:p w14:paraId="16E1D927" w14:textId="77777777" w:rsidR="001E3165" w:rsidRDefault="00000000">
      <w:pPr>
        <w:ind w:firstLineChars="200" w:firstLine="480"/>
      </w:pPr>
      <w:r>
        <w:rPr>
          <w:rFonts w:hint="eastAsia"/>
        </w:rPr>
        <w:t>本标准不涉及专利问题。</w:t>
      </w:r>
    </w:p>
    <w:p w14:paraId="71547698" w14:textId="77777777" w:rsidR="001E3165" w:rsidRDefault="00000000">
      <w:pPr>
        <w:ind w:firstLineChars="200" w:firstLine="562"/>
        <w:rPr>
          <w:b/>
          <w:sz w:val="28"/>
          <w:szCs w:val="28"/>
        </w:rPr>
      </w:pPr>
      <w:r>
        <w:rPr>
          <w:rFonts w:hint="eastAsia"/>
          <w:b/>
          <w:sz w:val="28"/>
          <w:szCs w:val="28"/>
        </w:rPr>
        <w:t>五、预期达到的社会效益、对产业发展的作用等情况</w:t>
      </w:r>
    </w:p>
    <w:p w14:paraId="5056A5B8" w14:textId="77777777" w:rsidR="001E3165" w:rsidRDefault="00000000">
      <w:pPr>
        <w:ind w:firstLineChars="200" w:firstLine="480"/>
      </w:pPr>
      <w:r>
        <w:rPr>
          <w:rFonts w:hint="eastAsia"/>
        </w:rPr>
        <w:t>现有的核电厂消防标准主要集中在传统的防火、防爆设计及灭火系统的设置等方面，但随着数字化技术的快速发展，传统的消防标准已无法全面覆盖当前核电厂消防系统的数字化需求。</w:t>
      </w:r>
      <w:proofErr w:type="gramStart"/>
      <w:r>
        <w:rPr>
          <w:rFonts w:hint="eastAsia"/>
        </w:rPr>
        <w:t>智慧消防</w:t>
      </w:r>
      <w:proofErr w:type="gramEnd"/>
      <w:r>
        <w:rPr>
          <w:rFonts w:hint="eastAsia"/>
        </w:rPr>
        <w:t>设计标准的制定，能够有效补充现行标准中对物联网技术、数据分析、智能控制等新兴技术的应用规范，弥补传统标准在实时监测、自动响应、智能决策等方面的不足，为核电厂的智慧消防系统设计提供更加全面、先进的技术指南。</w:t>
      </w:r>
    </w:p>
    <w:p w14:paraId="27207177" w14:textId="77777777" w:rsidR="001E3165" w:rsidRDefault="00000000">
      <w:pPr>
        <w:ind w:firstLineChars="200" w:firstLine="480"/>
      </w:pPr>
      <w:r>
        <w:rPr>
          <w:rFonts w:hint="eastAsia"/>
        </w:rPr>
        <w:t>智慧消防系统设计标准不仅为核电厂智慧消防系统设计进行了规范，还将提升运营单位在日常管理中的消防水平。标准通过规范各类智能设备的布局和系统的集成，使得运营</w:t>
      </w:r>
      <w:r>
        <w:rPr>
          <w:rFonts w:hint="eastAsia"/>
        </w:rPr>
        <w:lastRenderedPageBreak/>
        <w:t>单位能够全面掌握核电厂的消防动态，实时获取各类风险信息并快速做出响应。此外，该标准有助于运营单位建立起基于大数据分析的火灾预防与应急管理体系，帮助其优化资源配置，减少人因操作失误，提升事故预防与处理的效率，为核电厂的长期安全运营提供保障。</w:t>
      </w:r>
    </w:p>
    <w:p w14:paraId="22ADB21B" w14:textId="77777777" w:rsidR="001E3165" w:rsidRDefault="00000000">
      <w:pPr>
        <w:ind w:firstLineChars="200" w:firstLine="562"/>
        <w:rPr>
          <w:b/>
          <w:sz w:val="28"/>
          <w:szCs w:val="28"/>
        </w:rPr>
      </w:pPr>
      <w:r>
        <w:rPr>
          <w:rFonts w:hint="eastAsia"/>
          <w:b/>
          <w:sz w:val="28"/>
          <w:szCs w:val="28"/>
        </w:rPr>
        <w:t>六、与国际、国外对比情况</w:t>
      </w:r>
    </w:p>
    <w:p w14:paraId="7C968168" w14:textId="77777777" w:rsidR="001E3165" w:rsidRDefault="00000000">
      <w:pPr>
        <w:ind w:firstLineChars="200" w:firstLine="480"/>
      </w:pPr>
      <w:r>
        <w:rPr>
          <w:rFonts w:hint="eastAsia"/>
        </w:rPr>
        <w:t>目前国际标准中，没有形成针对</w:t>
      </w:r>
      <w:proofErr w:type="gramStart"/>
      <w:r>
        <w:rPr>
          <w:rFonts w:hint="eastAsia"/>
        </w:rPr>
        <w:t>智慧消防</w:t>
      </w:r>
      <w:proofErr w:type="gramEnd"/>
      <w:r>
        <w:rPr>
          <w:rFonts w:hint="eastAsia"/>
        </w:rPr>
        <w:t>的整体标准，仅涉及部分，如</w:t>
      </w:r>
      <w:r>
        <w:rPr>
          <w:rFonts w:hint="eastAsia"/>
        </w:rPr>
        <w:t>NFPA 72</w:t>
      </w:r>
      <w:r>
        <w:rPr>
          <w:rFonts w:hint="eastAsia"/>
        </w:rPr>
        <w:t>中有对消防设备进行远程监控的要求、</w:t>
      </w:r>
      <w:r>
        <w:rPr>
          <w:rFonts w:hint="eastAsia"/>
        </w:rPr>
        <w:t>BS EN 15232</w:t>
      </w:r>
      <w:r>
        <w:rPr>
          <w:rFonts w:hint="eastAsia"/>
        </w:rPr>
        <w:t>中有对设备物联网和数字化传感器的要求。所以本标准从</w:t>
      </w:r>
      <w:proofErr w:type="gramStart"/>
      <w:r>
        <w:rPr>
          <w:rFonts w:hint="eastAsia"/>
        </w:rPr>
        <w:t>智慧消防</w:t>
      </w:r>
      <w:proofErr w:type="gramEnd"/>
      <w:r>
        <w:rPr>
          <w:rFonts w:hint="eastAsia"/>
        </w:rPr>
        <w:t>底层设备至顶层应用进行整体要求，更有利于规范</w:t>
      </w:r>
      <w:proofErr w:type="gramStart"/>
      <w:r>
        <w:rPr>
          <w:rFonts w:hint="eastAsia"/>
        </w:rPr>
        <w:t>智慧消防</w:t>
      </w:r>
      <w:proofErr w:type="gramEnd"/>
      <w:r>
        <w:rPr>
          <w:rFonts w:hint="eastAsia"/>
        </w:rPr>
        <w:t>在核电厂的实施。</w:t>
      </w:r>
    </w:p>
    <w:p w14:paraId="34EF7D8D" w14:textId="77777777" w:rsidR="001E3165" w:rsidRDefault="00000000">
      <w:pPr>
        <w:ind w:firstLineChars="200" w:firstLine="562"/>
        <w:rPr>
          <w:b/>
          <w:sz w:val="28"/>
          <w:szCs w:val="28"/>
        </w:rPr>
      </w:pPr>
      <w:r>
        <w:rPr>
          <w:rFonts w:hint="eastAsia"/>
          <w:b/>
          <w:sz w:val="28"/>
          <w:szCs w:val="28"/>
        </w:rPr>
        <w:t>七、在标准体系中的位置，与现行相关法律、法规、规章及标准，特别是强制性标准的协调性</w:t>
      </w:r>
    </w:p>
    <w:p w14:paraId="62B04CFB" w14:textId="77777777" w:rsidR="001E3165" w:rsidRDefault="00000000">
      <w:pPr>
        <w:ind w:firstLineChars="200" w:firstLine="480"/>
      </w:pPr>
      <w:r>
        <w:rPr>
          <w:rFonts w:hint="eastAsia"/>
        </w:rPr>
        <w:t>本标准与现行相关法律、法规、规章及相关标准协调一致。</w:t>
      </w:r>
    </w:p>
    <w:p w14:paraId="20863352" w14:textId="77777777" w:rsidR="001E3165" w:rsidRDefault="00000000">
      <w:pPr>
        <w:ind w:firstLineChars="200" w:firstLine="562"/>
        <w:rPr>
          <w:b/>
          <w:sz w:val="28"/>
          <w:szCs w:val="28"/>
        </w:rPr>
      </w:pPr>
      <w:r>
        <w:rPr>
          <w:rFonts w:hint="eastAsia"/>
          <w:b/>
          <w:sz w:val="28"/>
          <w:szCs w:val="28"/>
        </w:rPr>
        <w:t>八、重大分歧意见的处理经过和依据</w:t>
      </w:r>
    </w:p>
    <w:p w14:paraId="576B871C" w14:textId="77777777" w:rsidR="001E3165" w:rsidRDefault="00000000">
      <w:pPr>
        <w:ind w:firstLineChars="200" w:firstLine="480"/>
      </w:pPr>
      <w:r>
        <w:rPr>
          <w:rFonts w:hint="eastAsia"/>
        </w:rPr>
        <w:t>本标准无重大分歧意见。</w:t>
      </w:r>
    </w:p>
    <w:p w14:paraId="532B3176" w14:textId="77777777" w:rsidR="001E3165" w:rsidRDefault="00000000">
      <w:pPr>
        <w:ind w:firstLineChars="200" w:firstLine="562"/>
        <w:rPr>
          <w:b/>
          <w:sz w:val="28"/>
          <w:szCs w:val="28"/>
        </w:rPr>
      </w:pPr>
      <w:r>
        <w:rPr>
          <w:rFonts w:hint="eastAsia"/>
          <w:b/>
          <w:sz w:val="28"/>
          <w:szCs w:val="28"/>
        </w:rPr>
        <w:t>九、标准性质的建议说明</w:t>
      </w:r>
    </w:p>
    <w:p w14:paraId="3B15521C" w14:textId="77777777" w:rsidR="001E3165" w:rsidRDefault="00000000">
      <w:pPr>
        <w:ind w:firstLineChars="200" w:firstLine="480"/>
      </w:pPr>
      <w:r>
        <w:rPr>
          <w:rFonts w:hint="eastAsia"/>
        </w:rPr>
        <w:t>建议本标准的性质为团体标准。</w:t>
      </w:r>
    </w:p>
    <w:p w14:paraId="3BFBD8A2" w14:textId="77777777" w:rsidR="001E3165" w:rsidRDefault="00000000">
      <w:pPr>
        <w:ind w:firstLineChars="200" w:firstLine="562"/>
        <w:rPr>
          <w:b/>
          <w:sz w:val="28"/>
          <w:szCs w:val="28"/>
        </w:rPr>
      </w:pPr>
      <w:r>
        <w:rPr>
          <w:rFonts w:hint="eastAsia"/>
          <w:b/>
          <w:sz w:val="28"/>
          <w:szCs w:val="28"/>
        </w:rPr>
        <w:t>十、贯彻标准的要求和措施建议</w:t>
      </w:r>
    </w:p>
    <w:p w14:paraId="47B29E3C" w14:textId="77777777" w:rsidR="001E3165" w:rsidRDefault="00000000">
      <w:pPr>
        <w:ind w:firstLineChars="200" w:firstLine="480"/>
      </w:pPr>
      <w:r>
        <w:rPr>
          <w:rFonts w:hint="eastAsia"/>
        </w:rPr>
        <w:t>标准发布后，上海核工程研究设计院股份有限公司、</w:t>
      </w:r>
      <w:proofErr w:type="gramStart"/>
      <w:r>
        <w:rPr>
          <w:rFonts w:hint="eastAsia"/>
        </w:rPr>
        <w:t>中电投广西核电有限公司</w:t>
      </w:r>
      <w:proofErr w:type="gramEnd"/>
      <w:r>
        <w:rPr>
          <w:rFonts w:hint="eastAsia"/>
        </w:rPr>
        <w:t>将配合中国核能行业协会组织行业召开标准宣贯会，开展培训活动，促进该标准更好的贯彻实施。</w:t>
      </w:r>
    </w:p>
    <w:p w14:paraId="2A6D4667" w14:textId="77777777" w:rsidR="001E3165" w:rsidRDefault="00000000">
      <w:pPr>
        <w:ind w:firstLineChars="200" w:firstLine="562"/>
        <w:rPr>
          <w:b/>
          <w:sz w:val="28"/>
          <w:szCs w:val="28"/>
        </w:rPr>
      </w:pPr>
      <w:r>
        <w:rPr>
          <w:rFonts w:hint="eastAsia"/>
          <w:b/>
          <w:sz w:val="28"/>
          <w:szCs w:val="28"/>
        </w:rPr>
        <w:t>十一、废止现行相关标准的建议</w:t>
      </w:r>
    </w:p>
    <w:p w14:paraId="3D32B8C2" w14:textId="77777777" w:rsidR="001E3165" w:rsidRDefault="00000000">
      <w:pPr>
        <w:ind w:firstLineChars="200" w:firstLine="480"/>
      </w:pPr>
      <w:r>
        <w:rPr>
          <w:rFonts w:hint="eastAsia"/>
        </w:rPr>
        <w:t>本标准无需废止现行相关标准。</w:t>
      </w:r>
    </w:p>
    <w:p w14:paraId="5DE6AE0F" w14:textId="77777777" w:rsidR="001E3165" w:rsidRDefault="00000000">
      <w:pPr>
        <w:ind w:firstLineChars="200" w:firstLine="562"/>
        <w:rPr>
          <w:b/>
          <w:sz w:val="28"/>
          <w:szCs w:val="28"/>
        </w:rPr>
      </w:pPr>
      <w:r>
        <w:rPr>
          <w:rFonts w:hint="eastAsia"/>
          <w:b/>
          <w:sz w:val="28"/>
          <w:szCs w:val="28"/>
        </w:rPr>
        <w:t>十二、其他应予说明的事项</w:t>
      </w:r>
    </w:p>
    <w:p w14:paraId="75B06F81" w14:textId="77777777" w:rsidR="001E3165" w:rsidRDefault="00000000">
      <w:pPr>
        <w:ind w:firstLineChars="200" w:firstLine="480"/>
      </w:pPr>
      <w:r>
        <w:rPr>
          <w:rFonts w:hint="eastAsia"/>
        </w:rPr>
        <w:t>本标准无其他需说明事项。</w:t>
      </w:r>
    </w:p>
    <w:sectPr w:rsidR="001E3165">
      <w:headerReference w:type="default" r:id="rId8"/>
      <w:pgSz w:w="11906" w:h="16838"/>
      <w:pgMar w:top="567" w:right="1134" w:bottom="1134" w:left="1417" w:header="850" w:footer="1134" w:gutter="0"/>
      <w:pgNumType w:start="1"/>
      <w:cols w:space="425"/>
      <w:formProt w:val="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A6CE" w14:textId="77777777" w:rsidR="00DB3818" w:rsidRDefault="00DB3818">
      <w:pPr>
        <w:spacing w:line="240" w:lineRule="auto"/>
      </w:pPr>
      <w:r>
        <w:separator/>
      </w:r>
    </w:p>
  </w:endnote>
  <w:endnote w:type="continuationSeparator" w:id="0">
    <w:p w14:paraId="1AEE60A0" w14:textId="77777777" w:rsidR="00DB3818" w:rsidRDefault="00DB38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FB398" w14:textId="77777777" w:rsidR="00DB3818" w:rsidRDefault="00DB3818">
      <w:r>
        <w:separator/>
      </w:r>
    </w:p>
  </w:footnote>
  <w:footnote w:type="continuationSeparator" w:id="0">
    <w:p w14:paraId="24E62693" w14:textId="77777777" w:rsidR="00DB3818" w:rsidRDefault="00DB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8A70C" w14:textId="77777777" w:rsidR="001E3165" w:rsidRDefault="001E3165" w:rsidP="00450DD1">
    <w:pPr>
      <w:pStyle w:val="ae"/>
      <w:pBdr>
        <w:bottom w:val="none" w:sz="0" w:space="0" w:color="auto"/>
      </w:pBdr>
      <w:spacing w:line="6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Times New Roman" w:hAnsi="Times New Roman" w:cs="Times New Roman"/>
        <w:b w:val="0"/>
        <w:bCs w:val="0"/>
        <w:i w:val="0"/>
        <w:iCs w:val="0"/>
        <w:caps w:val="0"/>
        <w:smallCaps w:val="0"/>
        <w:strike w:val="0"/>
        <w:dstrike w:val="0"/>
        <w:vanish w:val="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suff w:val="nothing"/>
      <w:lvlText w:val="%1.%2　"/>
      <w:lvlJc w:val="left"/>
      <w:pPr>
        <w:ind w:left="568"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7C9B23A6"/>
    <w:multiLevelType w:val="multilevel"/>
    <w:tmpl w:val="7C9B23A6"/>
    <w:lvl w:ilvl="0">
      <w:start w:val="11"/>
      <w:numFmt w:val="decimal"/>
      <w:pStyle w:val="a0"/>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89327437">
    <w:abstractNumId w:val="0"/>
  </w:num>
  <w:num w:numId="2" w16cid:durableId="962033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35"/>
  <w:drawingGridHorizontalSpacing w:val="120"/>
  <w:drawingGridVerticalSpacing w:val="163"/>
  <w:displayHorizontalDrawingGridEvery w:val="2"/>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E37"/>
    <w:rsid w:val="0000238D"/>
    <w:rsid w:val="000031D9"/>
    <w:rsid w:val="000118A0"/>
    <w:rsid w:val="00011EC9"/>
    <w:rsid w:val="00012481"/>
    <w:rsid w:val="00013B80"/>
    <w:rsid w:val="00014EB5"/>
    <w:rsid w:val="0001513A"/>
    <w:rsid w:val="00015546"/>
    <w:rsid w:val="0001614F"/>
    <w:rsid w:val="000161F3"/>
    <w:rsid w:val="00016302"/>
    <w:rsid w:val="0001691A"/>
    <w:rsid w:val="000208D2"/>
    <w:rsid w:val="0002199C"/>
    <w:rsid w:val="00021C91"/>
    <w:rsid w:val="00025AEB"/>
    <w:rsid w:val="00025FBD"/>
    <w:rsid w:val="00026277"/>
    <w:rsid w:val="00026A97"/>
    <w:rsid w:val="000271F0"/>
    <w:rsid w:val="00030B6F"/>
    <w:rsid w:val="00030C0D"/>
    <w:rsid w:val="000350AA"/>
    <w:rsid w:val="00040F42"/>
    <w:rsid w:val="00044C27"/>
    <w:rsid w:val="00047FB8"/>
    <w:rsid w:val="00052114"/>
    <w:rsid w:val="00052E0C"/>
    <w:rsid w:val="000534DF"/>
    <w:rsid w:val="00053E62"/>
    <w:rsid w:val="00055578"/>
    <w:rsid w:val="00055904"/>
    <w:rsid w:val="00056D09"/>
    <w:rsid w:val="000601C7"/>
    <w:rsid w:val="0006091E"/>
    <w:rsid w:val="00061A57"/>
    <w:rsid w:val="00061CA2"/>
    <w:rsid w:val="00061DAA"/>
    <w:rsid w:val="000629D3"/>
    <w:rsid w:val="00064205"/>
    <w:rsid w:val="00067542"/>
    <w:rsid w:val="00067A04"/>
    <w:rsid w:val="00070AFE"/>
    <w:rsid w:val="00072197"/>
    <w:rsid w:val="000733C6"/>
    <w:rsid w:val="000758A7"/>
    <w:rsid w:val="000758B1"/>
    <w:rsid w:val="000773CC"/>
    <w:rsid w:val="0008061E"/>
    <w:rsid w:val="00082024"/>
    <w:rsid w:val="00085F24"/>
    <w:rsid w:val="00087621"/>
    <w:rsid w:val="0009171B"/>
    <w:rsid w:val="00091787"/>
    <w:rsid w:val="0009193A"/>
    <w:rsid w:val="000934F0"/>
    <w:rsid w:val="000936DD"/>
    <w:rsid w:val="000944B4"/>
    <w:rsid w:val="00095587"/>
    <w:rsid w:val="0009560D"/>
    <w:rsid w:val="000977BE"/>
    <w:rsid w:val="000A0959"/>
    <w:rsid w:val="000A1A73"/>
    <w:rsid w:val="000A317C"/>
    <w:rsid w:val="000A3E74"/>
    <w:rsid w:val="000A3FC6"/>
    <w:rsid w:val="000A4706"/>
    <w:rsid w:val="000A4B5A"/>
    <w:rsid w:val="000B35FC"/>
    <w:rsid w:val="000B406D"/>
    <w:rsid w:val="000B427B"/>
    <w:rsid w:val="000B5278"/>
    <w:rsid w:val="000C0A29"/>
    <w:rsid w:val="000C21A6"/>
    <w:rsid w:val="000C28CF"/>
    <w:rsid w:val="000C3359"/>
    <w:rsid w:val="000C3E34"/>
    <w:rsid w:val="000C56F1"/>
    <w:rsid w:val="000C5F89"/>
    <w:rsid w:val="000C7894"/>
    <w:rsid w:val="000D0B76"/>
    <w:rsid w:val="000D190A"/>
    <w:rsid w:val="000D2E20"/>
    <w:rsid w:val="000D5264"/>
    <w:rsid w:val="000D5E63"/>
    <w:rsid w:val="000E19C1"/>
    <w:rsid w:val="000E2092"/>
    <w:rsid w:val="000E312F"/>
    <w:rsid w:val="000E6BA8"/>
    <w:rsid w:val="000F0858"/>
    <w:rsid w:val="000F0FCB"/>
    <w:rsid w:val="000F1139"/>
    <w:rsid w:val="000F47F5"/>
    <w:rsid w:val="000F5B51"/>
    <w:rsid w:val="000F5F21"/>
    <w:rsid w:val="00100C9B"/>
    <w:rsid w:val="001021D2"/>
    <w:rsid w:val="00105993"/>
    <w:rsid w:val="00106C14"/>
    <w:rsid w:val="00106DCF"/>
    <w:rsid w:val="00107711"/>
    <w:rsid w:val="00110266"/>
    <w:rsid w:val="00112EB1"/>
    <w:rsid w:val="001165A7"/>
    <w:rsid w:val="001178E2"/>
    <w:rsid w:val="00117ECC"/>
    <w:rsid w:val="00121A9C"/>
    <w:rsid w:val="00121D24"/>
    <w:rsid w:val="00121E3F"/>
    <w:rsid w:val="001227B6"/>
    <w:rsid w:val="0012317B"/>
    <w:rsid w:val="00123AE7"/>
    <w:rsid w:val="00124618"/>
    <w:rsid w:val="00127542"/>
    <w:rsid w:val="0012772C"/>
    <w:rsid w:val="001371A0"/>
    <w:rsid w:val="0013721C"/>
    <w:rsid w:val="001400BB"/>
    <w:rsid w:val="00140A54"/>
    <w:rsid w:val="00144ECC"/>
    <w:rsid w:val="00145883"/>
    <w:rsid w:val="00146A7B"/>
    <w:rsid w:val="00156C43"/>
    <w:rsid w:val="00156CB7"/>
    <w:rsid w:val="00160D3A"/>
    <w:rsid w:val="00165A19"/>
    <w:rsid w:val="001677BB"/>
    <w:rsid w:val="001709DA"/>
    <w:rsid w:val="00171F2E"/>
    <w:rsid w:val="00175DCC"/>
    <w:rsid w:val="00175E6A"/>
    <w:rsid w:val="00182405"/>
    <w:rsid w:val="00182571"/>
    <w:rsid w:val="0018584F"/>
    <w:rsid w:val="00186170"/>
    <w:rsid w:val="00186AED"/>
    <w:rsid w:val="00192281"/>
    <w:rsid w:val="00192FC8"/>
    <w:rsid w:val="0019328E"/>
    <w:rsid w:val="00194704"/>
    <w:rsid w:val="001A105D"/>
    <w:rsid w:val="001A1B58"/>
    <w:rsid w:val="001A350D"/>
    <w:rsid w:val="001A6797"/>
    <w:rsid w:val="001A7755"/>
    <w:rsid w:val="001B1EB2"/>
    <w:rsid w:val="001B229B"/>
    <w:rsid w:val="001B4AA7"/>
    <w:rsid w:val="001B6C48"/>
    <w:rsid w:val="001B76B7"/>
    <w:rsid w:val="001C1D2B"/>
    <w:rsid w:val="001C205B"/>
    <w:rsid w:val="001C24A9"/>
    <w:rsid w:val="001D12D2"/>
    <w:rsid w:val="001D2126"/>
    <w:rsid w:val="001D3493"/>
    <w:rsid w:val="001D41FA"/>
    <w:rsid w:val="001D6449"/>
    <w:rsid w:val="001D6C6E"/>
    <w:rsid w:val="001E0F3C"/>
    <w:rsid w:val="001E251E"/>
    <w:rsid w:val="001E3165"/>
    <w:rsid w:val="001E46D8"/>
    <w:rsid w:val="001E53BE"/>
    <w:rsid w:val="001E64E5"/>
    <w:rsid w:val="001E6753"/>
    <w:rsid w:val="001E77B2"/>
    <w:rsid w:val="001F1AAD"/>
    <w:rsid w:val="001F4417"/>
    <w:rsid w:val="001F461C"/>
    <w:rsid w:val="001F4F1C"/>
    <w:rsid w:val="001F6A68"/>
    <w:rsid w:val="001F72D5"/>
    <w:rsid w:val="001F7330"/>
    <w:rsid w:val="001F7719"/>
    <w:rsid w:val="001F7AAD"/>
    <w:rsid w:val="001F7CE9"/>
    <w:rsid w:val="0020320E"/>
    <w:rsid w:val="002034C3"/>
    <w:rsid w:val="002041AA"/>
    <w:rsid w:val="00204328"/>
    <w:rsid w:val="00204891"/>
    <w:rsid w:val="00204A1B"/>
    <w:rsid w:val="00204D46"/>
    <w:rsid w:val="00206E02"/>
    <w:rsid w:val="00210A80"/>
    <w:rsid w:val="00211E68"/>
    <w:rsid w:val="0021234F"/>
    <w:rsid w:val="002123CA"/>
    <w:rsid w:val="002141C4"/>
    <w:rsid w:val="002151E9"/>
    <w:rsid w:val="00215468"/>
    <w:rsid w:val="002161EE"/>
    <w:rsid w:val="00217D5B"/>
    <w:rsid w:val="00217D78"/>
    <w:rsid w:val="002227F2"/>
    <w:rsid w:val="0022288E"/>
    <w:rsid w:val="002230C6"/>
    <w:rsid w:val="00223F41"/>
    <w:rsid w:val="00226BFB"/>
    <w:rsid w:val="002279D4"/>
    <w:rsid w:val="002305CA"/>
    <w:rsid w:val="00233718"/>
    <w:rsid w:val="00234F25"/>
    <w:rsid w:val="00237E62"/>
    <w:rsid w:val="00242042"/>
    <w:rsid w:val="00244B40"/>
    <w:rsid w:val="00246404"/>
    <w:rsid w:val="002471F5"/>
    <w:rsid w:val="002476B2"/>
    <w:rsid w:val="00247A0C"/>
    <w:rsid w:val="00250728"/>
    <w:rsid w:val="00254951"/>
    <w:rsid w:val="00255278"/>
    <w:rsid w:val="002560D5"/>
    <w:rsid w:val="00262E4C"/>
    <w:rsid w:val="00263BC5"/>
    <w:rsid w:val="00264E70"/>
    <w:rsid w:val="002667C1"/>
    <w:rsid w:val="00266AC1"/>
    <w:rsid w:val="00267452"/>
    <w:rsid w:val="00273489"/>
    <w:rsid w:val="002742F2"/>
    <w:rsid w:val="00274548"/>
    <w:rsid w:val="002748F0"/>
    <w:rsid w:val="002761E9"/>
    <w:rsid w:val="0027717F"/>
    <w:rsid w:val="00281737"/>
    <w:rsid w:val="00285349"/>
    <w:rsid w:val="00285791"/>
    <w:rsid w:val="00286DB2"/>
    <w:rsid w:val="002917EB"/>
    <w:rsid w:val="00293481"/>
    <w:rsid w:val="00295E32"/>
    <w:rsid w:val="00297C98"/>
    <w:rsid w:val="002A17FC"/>
    <w:rsid w:val="002A1B89"/>
    <w:rsid w:val="002A4078"/>
    <w:rsid w:val="002A78BA"/>
    <w:rsid w:val="002B17A6"/>
    <w:rsid w:val="002B50F4"/>
    <w:rsid w:val="002B6A74"/>
    <w:rsid w:val="002B7797"/>
    <w:rsid w:val="002C1ED4"/>
    <w:rsid w:val="002C3270"/>
    <w:rsid w:val="002C543A"/>
    <w:rsid w:val="002C797A"/>
    <w:rsid w:val="002D2C99"/>
    <w:rsid w:val="002D5D6E"/>
    <w:rsid w:val="002D6AB4"/>
    <w:rsid w:val="002E067E"/>
    <w:rsid w:val="002E2096"/>
    <w:rsid w:val="002E285B"/>
    <w:rsid w:val="002E3F9B"/>
    <w:rsid w:val="002E537F"/>
    <w:rsid w:val="002E62A0"/>
    <w:rsid w:val="002E75D4"/>
    <w:rsid w:val="002F4881"/>
    <w:rsid w:val="002F4BE1"/>
    <w:rsid w:val="002F5818"/>
    <w:rsid w:val="002F7F55"/>
    <w:rsid w:val="00305E7D"/>
    <w:rsid w:val="00310E32"/>
    <w:rsid w:val="00311B3D"/>
    <w:rsid w:val="00312906"/>
    <w:rsid w:val="003138FF"/>
    <w:rsid w:val="0031681A"/>
    <w:rsid w:val="00321C68"/>
    <w:rsid w:val="00321E8F"/>
    <w:rsid w:val="0032409D"/>
    <w:rsid w:val="00327917"/>
    <w:rsid w:val="00327F9F"/>
    <w:rsid w:val="00332B0F"/>
    <w:rsid w:val="00336410"/>
    <w:rsid w:val="003365B6"/>
    <w:rsid w:val="00337A4E"/>
    <w:rsid w:val="0034430B"/>
    <w:rsid w:val="00345165"/>
    <w:rsid w:val="0035138B"/>
    <w:rsid w:val="0035226A"/>
    <w:rsid w:val="00354CF8"/>
    <w:rsid w:val="003601DA"/>
    <w:rsid w:val="003644F5"/>
    <w:rsid w:val="003672FB"/>
    <w:rsid w:val="00367AF5"/>
    <w:rsid w:val="00370B76"/>
    <w:rsid w:val="00371026"/>
    <w:rsid w:val="0037513E"/>
    <w:rsid w:val="00375E41"/>
    <w:rsid w:val="00375FEA"/>
    <w:rsid w:val="00377886"/>
    <w:rsid w:val="0038055D"/>
    <w:rsid w:val="0038295C"/>
    <w:rsid w:val="00382FC3"/>
    <w:rsid w:val="003844F0"/>
    <w:rsid w:val="00385D32"/>
    <w:rsid w:val="00387568"/>
    <w:rsid w:val="00390472"/>
    <w:rsid w:val="00391079"/>
    <w:rsid w:val="00392B3C"/>
    <w:rsid w:val="0039334A"/>
    <w:rsid w:val="00394B0E"/>
    <w:rsid w:val="00396BC4"/>
    <w:rsid w:val="003A2151"/>
    <w:rsid w:val="003A3153"/>
    <w:rsid w:val="003A559A"/>
    <w:rsid w:val="003A6F58"/>
    <w:rsid w:val="003A7D7C"/>
    <w:rsid w:val="003B1671"/>
    <w:rsid w:val="003B1E63"/>
    <w:rsid w:val="003B2DC3"/>
    <w:rsid w:val="003C11CE"/>
    <w:rsid w:val="003C172E"/>
    <w:rsid w:val="003C3189"/>
    <w:rsid w:val="003C5288"/>
    <w:rsid w:val="003C644B"/>
    <w:rsid w:val="003C6C8D"/>
    <w:rsid w:val="003D33DA"/>
    <w:rsid w:val="003D7240"/>
    <w:rsid w:val="003D73DE"/>
    <w:rsid w:val="003E06F2"/>
    <w:rsid w:val="003E2278"/>
    <w:rsid w:val="003E3BE7"/>
    <w:rsid w:val="003E453B"/>
    <w:rsid w:val="003E4F46"/>
    <w:rsid w:val="003E5C69"/>
    <w:rsid w:val="003E7585"/>
    <w:rsid w:val="003F0F61"/>
    <w:rsid w:val="003F30E1"/>
    <w:rsid w:val="003F41EC"/>
    <w:rsid w:val="003F4E9D"/>
    <w:rsid w:val="00400B51"/>
    <w:rsid w:val="00401224"/>
    <w:rsid w:val="00401AC8"/>
    <w:rsid w:val="00402A05"/>
    <w:rsid w:val="00413C12"/>
    <w:rsid w:val="00417601"/>
    <w:rsid w:val="004246FE"/>
    <w:rsid w:val="0042498E"/>
    <w:rsid w:val="00431129"/>
    <w:rsid w:val="004340B8"/>
    <w:rsid w:val="0043473C"/>
    <w:rsid w:val="0043679C"/>
    <w:rsid w:val="00440154"/>
    <w:rsid w:val="00440393"/>
    <w:rsid w:val="00442D28"/>
    <w:rsid w:val="00444C38"/>
    <w:rsid w:val="004458EC"/>
    <w:rsid w:val="004471AB"/>
    <w:rsid w:val="00450DD1"/>
    <w:rsid w:val="0045130A"/>
    <w:rsid w:val="00451B8E"/>
    <w:rsid w:val="00453ACC"/>
    <w:rsid w:val="0045400E"/>
    <w:rsid w:val="00454B2B"/>
    <w:rsid w:val="0045723F"/>
    <w:rsid w:val="00457F4B"/>
    <w:rsid w:val="00460940"/>
    <w:rsid w:val="00460B8C"/>
    <w:rsid w:val="00463CBC"/>
    <w:rsid w:val="00463EFA"/>
    <w:rsid w:val="004644DD"/>
    <w:rsid w:val="004649F7"/>
    <w:rsid w:val="0046524D"/>
    <w:rsid w:val="00472C5F"/>
    <w:rsid w:val="004734CE"/>
    <w:rsid w:val="00474917"/>
    <w:rsid w:val="004759B8"/>
    <w:rsid w:val="0048186B"/>
    <w:rsid w:val="0048206C"/>
    <w:rsid w:val="00482F2A"/>
    <w:rsid w:val="00483B7E"/>
    <w:rsid w:val="00487E7D"/>
    <w:rsid w:val="004922B9"/>
    <w:rsid w:val="00492F45"/>
    <w:rsid w:val="0049615D"/>
    <w:rsid w:val="004A0F4E"/>
    <w:rsid w:val="004A386C"/>
    <w:rsid w:val="004A7EC9"/>
    <w:rsid w:val="004B5731"/>
    <w:rsid w:val="004B7069"/>
    <w:rsid w:val="004B7540"/>
    <w:rsid w:val="004C3077"/>
    <w:rsid w:val="004C362F"/>
    <w:rsid w:val="004C5723"/>
    <w:rsid w:val="004C6C08"/>
    <w:rsid w:val="004C745C"/>
    <w:rsid w:val="004C7B2C"/>
    <w:rsid w:val="004C7F9C"/>
    <w:rsid w:val="004D03B7"/>
    <w:rsid w:val="004D2544"/>
    <w:rsid w:val="004D3CF9"/>
    <w:rsid w:val="004D58A3"/>
    <w:rsid w:val="004D5F51"/>
    <w:rsid w:val="004E0AA3"/>
    <w:rsid w:val="004E1B14"/>
    <w:rsid w:val="004E22CD"/>
    <w:rsid w:val="004E51AE"/>
    <w:rsid w:val="004E5B78"/>
    <w:rsid w:val="004F3D49"/>
    <w:rsid w:val="004F60B1"/>
    <w:rsid w:val="004F78C8"/>
    <w:rsid w:val="004F7A56"/>
    <w:rsid w:val="004F7C3E"/>
    <w:rsid w:val="005027A4"/>
    <w:rsid w:val="00503E28"/>
    <w:rsid w:val="0050546B"/>
    <w:rsid w:val="00506394"/>
    <w:rsid w:val="00506D50"/>
    <w:rsid w:val="00506FFB"/>
    <w:rsid w:val="005110D1"/>
    <w:rsid w:val="0051130E"/>
    <w:rsid w:val="005124A1"/>
    <w:rsid w:val="00512B89"/>
    <w:rsid w:val="00514741"/>
    <w:rsid w:val="0051746D"/>
    <w:rsid w:val="00517A0B"/>
    <w:rsid w:val="00521813"/>
    <w:rsid w:val="00521B1B"/>
    <w:rsid w:val="005225DA"/>
    <w:rsid w:val="00523980"/>
    <w:rsid w:val="00524CF6"/>
    <w:rsid w:val="00527B5A"/>
    <w:rsid w:val="005328D6"/>
    <w:rsid w:val="0053414D"/>
    <w:rsid w:val="0053648E"/>
    <w:rsid w:val="005405EB"/>
    <w:rsid w:val="0054161D"/>
    <w:rsid w:val="00546142"/>
    <w:rsid w:val="00552E9E"/>
    <w:rsid w:val="00555937"/>
    <w:rsid w:val="00557235"/>
    <w:rsid w:val="00565830"/>
    <w:rsid w:val="00567348"/>
    <w:rsid w:val="00567939"/>
    <w:rsid w:val="0057111B"/>
    <w:rsid w:val="005721D1"/>
    <w:rsid w:val="005752B1"/>
    <w:rsid w:val="00576E2D"/>
    <w:rsid w:val="0057776E"/>
    <w:rsid w:val="005827AF"/>
    <w:rsid w:val="00582EA9"/>
    <w:rsid w:val="005831B7"/>
    <w:rsid w:val="00583B20"/>
    <w:rsid w:val="00583E12"/>
    <w:rsid w:val="005846EA"/>
    <w:rsid w:val="00584ACE"/>
    <w:rsid w:val="00586813"/>
    <w:rsid w:val="00587CED"/>
    <w:rsid w:val="00591D19"/>
    <w:rsid w:val="00591E7A"/>
    <w:rsid w:val="00594285"/>
    <w:rsid w:val="00594E44"/>
    <w:rsid w:val="00596794"/>
    <w:rsid w:val="005A14A1"/>
    <w:rsid w:val="005A4500"/>
    <w:rsid w:val="005A5CA2"/>
    <w:rsid w:val="005A7E2F"/>
    <w:rsid w:val="005A7FCA"/>
    <w:rsid w:val="005B25C3"/>
    <w:rsid w:val="005B7E32"/>
    <w:rsid w:val="005C1038"/>
    <w:rsid w:val="005C29DF"/>
    <w:rsid w:val="005C3BF5"/>
    <w:rsid w:val="005C3CC8"/>
    <w:rsid w:val="005D107A"/>
    <w:rsid w:val="005D11F4"/>
    <w:rsid w:val="005D13E4"/>
    <w:rsid w:val="005D39CC"/>
    <w:rsid w:val="005D488F"/>
    <w:rsid w:val="005D4F16"/>
    <w:rsid w:val="005D4F23"/>
    <w:rsid w:val="005D5CC5"/>
    <w:rsid w:val="005D6A3B"/>
    <w:rsid w:val="005D6BD4"/>
    <w:rsid w:val="005E25F7"/>
    <w:rsid w:val="005F2327"/>
    <w:rsid w:val="005F28A8"/>
    <w:rsid w:val="005F41F4"/>
    <w:rsid w:val="005F4FB7"/>
    <w:rsid w:val="005F544B"/>
    <w:rsid w:val="005F6916"/>
    <w:rsid w:val="005F6F55"/>
    <w:rsid w:val="005F7813"/>
    <w:rsid w:val="006015F8"/>
    <w:rsid w:val="00601998"/>
    <w:rsid w:val="006032C9"/>
    <w:rsid w:val="00603415"/>
    <w:rsid w:val="00605496"/>
    <w:rsid w:val="00607799"/>
    <w:rsid w:val="00610970"/>
    <w:rsid w:val="00611A19"/>
    <w:rsid w:val="006129DF"/>
    <w:rsid w:val="00614DAF"/>
    <w:rsid w:val="00614E08"/>
    <w:rsid w:val="00616C48"/>
    <w:rsid w:val="0062214D"/>
    <w:rsid w:val="0062237C"/>
    <w:rsid w:val="00623439"/>
    <w:rsid w:val="00623C13"/>
    <w:rsid w:val="006259F0"/>
    <w:rsid w:val="006259FB"/>
    <w:rsid w:val="00627150"/>
    <w:rsid w:val="006300D0"/>
    <w:rsid w:val="0063051F"/>
    <w:rsid w:val="006316EE"/>
    <w:rsid w:val="00631888"/>
    <w:rsid w:val="00631B67"/>
    <w:rsid w:val="00631FC0"/>
    <w:rsid w:val="006320BA"/>
    <w:rsid w:val="006321F2"/>
    <w:rsid w:val="006327B7"/>
    <w:rsid w:val="006342DA"/>
    <w:rsid w:val="00634747"/>
    <w:rsid w:val="0063543F"/>
    <w:rsid w:val="00636A30"/>
    <w:rsid w:val="00636E8C"/>
    <w:rsid w:val="0064043F"/>
    <w:rsid w:val="006423B6"/>
    <w:rsid w:val="006425AE"/>
    <w:rsid w:val="00642D7B"/>
    <w:rsid w:val="0064309F"/>
    <w:rsid w:val="0064576E"/>
    <w:rsid w:val="00647D6F"/>
    <w:rsid w:val="006505F5"/>
    <w:rsid w:val="00652520"/>
    <w:rsid w:val="00653797"/>
    <w:rsid w:val="006565F1"/>
    <w:rsid w:val="00664AFC"/>
    <w:rsid w:val="00667A45"/>
    <w:rsid w:val="00670920"/>
    <w:rsid w:val="006745F8"/>
    <w:rsid w:val="00674A14"/>
    <w:rsid w:val="00675223"/>
    <w:rsid w:val="00675972"/>
    <w:rsid w:val="00677159"/>
    <w:rsid w:val="006773CA"/>
    <w:rsid w:val="00677DA4"/>
    <w:rsid w:val="00681C95"/>
    <w:rsid w:val="00682267"/>
    <w:rsid w:val="00686D5F"/>
    <w:rsid w:val="00692E86"/>
    <w:rsid w:val="006948F9"/>
    <w:rsid w:val="006970F9"/>
    <w:rsid w:val="00697E0B"/>
    <w:rsid w:val="006A1054"/>
    <w:rsid w:val="006A16BC"/>
    <w:rsid w:val="006A305E"/>
    <w:rsid w:val="006A49E5"/>
    <w:rsid w:val="006B0A0A"/>
    <w:rsid w:val="006B31AF"/>
    <w:rsid w:val="006B38F2"/>
    <w:rsid w:val="006B441B"/>
    <w:rsid w:val="006B7554"/>
    <w:rsid w:val="006C00BE"/>
    <w:rsid w:val="006C0850"/>
    <w:rsid w:val="006C2027"/>
    <w:rsid w:val="006C3A3C"/>
    <w:rsid w:val="006C47B1"/>
    <w:rsid w:val="006C5986"/>
    <w:rsid w:val="006C7570"/>
    <w:rsid w:val="006C799C"/>
    <w:rsid w:val="006D00F3"/>
    <w:rsid w:val="006D259D"/>
    <w:rsid w:val="006D4B22"/>
    <w:rsid w:val="006D7743"/>
    <w:rsid w:val="006E0976"/>
    <w:rsid w:val="006E187B"/>
    <w:rsid w:val="006E1F32"/>
    <w:rsid w:val="006E281B"/>
    <w:rsid w:val="006E60D2"/>
    <w:rsid w:val="006F0A8C"/>
    <w:rsid w:val="006F0D4F"/>
    <w:rsid w:val="006F0DC9"/>
    <w:rsid w:val="006F1CB8"/>
    <w:rsid w:val="006F5883"/>
    <w:rsid w:val="006F7662"/>
    <w:rsid w:val="006F77CF"/>
    <w:rsid w:val="006F7CDC"/>
    <w:rsid w:val="00702638"/>
    <w:rsid w:val="00702ECB"/>
    <w:rsid w:val="00702EF0"/>
    <w:rsid w:val="0070530C"/>
    <w:rsid w:val="00710E64"/>
    <w:rsid w:val="00715365"/>
    <w:rsid w:val="00715742"/>
    <w:rsid w:val="00716EAF"/>
    <w:rsid w:val="007217C8"/>
    <w:rsid w:val="00723A75"/>
    <w:rsid w:val="0072763F"/>
    <w:rsid w:val="00731245"/>
    <w:rsid w:val="00733269"/>
    <w:rsid w:val="00736284"/>
    <w:rsid w:val="00741C74"/>
    <w:rsid w:val="00742ACC"/>
    <w:rsid w:val="0074521B"/>
    <w:rsid w:val="00745A2D"/>
    <w:rsid w:val="00747362"/>
    <w:rsid w:val="007520AC"/>
    <w:rsid w:val="0075304B"/>
    <w:rsid w:val="00754629"/>
    <w:rsid w:val="00755253"/>
    <w:rsid w:val="0076013E"/>
    <w:rsid w:val="00760256"/>
    <w:rsid w:val="00760398"/>
    <w:rsid w:val="00765800"/>
    <w:rsid w:val="00765F4C"/>
    <w:rsid w:val="00771AF9"/>
    <w:rsid w:val="007742AA"/>
    <w:rsid w:val="0077600F"/>
    <w:rsid w:val="00781687"/>
    <w:rsid w:val="00781E63"/>
    <w:rsid w:val="00782BCB"/>
    <w:rsid w:val="007901D5"/>
    <w:rsid w:val="00791805"/>
    <w:rsid w:val="007936DD"/>
    <w:rsid w:val="0079372E"/>
    <w:rsid w:val="00793A67"/>
    <w:rsid w:val="00794A79"/>
    <w:rsid w:val="00796234"/>
    <w:rsid w:val="007A066D"/>
    <w:rsid w:val="007A104F"/>
    <w:rsid w:val="007B324C"/>
    <w:rsid w:val="007B3FCA"/>
    <w:rsid w:val="007B5F69"/>
    <w:rsid w:val="007B671E"/>
    <w:rsid w:val="007B7E25"/>
    <w:rsid w:val="007B7EB0"/>
    <w:rsid w:val="007C0D50"/>
    <w:rsid w:val="007C1550"/>
    <w:rsid w:val="007C25AC"/>
    <w:rsid w:val="007C4B56"/>
    <w:rsid w:val="007C67F5"/>
    <w:rsid w:val="007D58F8"/>
    <w:rsid w:val="007D7AB2"/>
    <w:rsid w:val="007E6B1B"/>
    <w:rsid w:val="007E7847"/>
    <w:rsid w:val="007F0850"/>
    <w:rsid w:val="007F36C6"/>
    <w:rsid w:val="007F3E9E"/>
    <w:rsid w:val="007F4F72"/>
    <w:rsid w:val="007F7225"/>
    <w:rsid w:val="008019D8"/>
    <w:rsid w:val="00803C5A"/>
    <w:rsid w:val="00803F6D"/>
    <w:rsid w:val="00811D0C"/>
    <w:rsid w:val="00812D79"/>
    <w:rsid w:val="008134F3"/>
    <w:rsid w:val="008137F0"/>
    <w:rsid w:val="00822C40"/>
    <w:rsid w:val="008234DE"/>
    <w:rsid w:val="00824572"/>
    <w:rsid w:val="00824A1F"/>
    <w:rsid w:val="00826124"/>
    <w:rsid w:val="00826137"/>
    <w:rsid w:val="00827BFB"/>
    <w:rsid w:val="00831C77"/>
    <w:rsid w:val="0083406B"/>
    <w:rsid w:val="008374DC"/>
    <w:rsid w:val="00840674"/>
    <w:rsid w:val="00840BC9"/>
    <w:rsid w:val="00840ECA"/>
    <w:rsid w:val="00842F13"/>
    <w:rsid w:val="008453EC"/>
    <w:rsid w:val="0084546A"/>
    <w:rsid w:val="00847951"/>
    <w:rsid w:val="00847D96"/>
    <w:rsid w:val="00850310"/>
    <w:rsid w:val="008526A5"/>
    <w:rsid w:val="00852A96"/>
    <w:rsid w:val="00852DF3"/>
    <w:rsid w:val="00853AF3"/>
    <w:rsid w:val="0085757F"/>
    <w:rsid w:val="00862B15"/>
    <w:rsid w:val="00864C5E"/>
    <w:rsid w:val="00865B08"/>
    <w:rsid w:val="0086715B"/>
    <w:rsid w:val="008746D9"/>
    <w:rsid w:val="00876CC6"/>
    <w:rsid w:val="008844B9"/>
    <w:rsid w:val="00884AF6"/>
    <w:rsid w:val="008851B3"/>
    <w:rsid w:val="0089157B"/>
    <w:rsid w:val="00895BB6"/>
    <w:rsid w:val="00896082"/>
    <w:rsid w:val="0089651C"/>
    <w:rsid w:val="0089723E"/>
    <w:rsid w:val="008A01F0"/>
    <w:rsid w:val="008A2631"/>
    <w:rsid w:val="008A38EC"/>
    <w:rsid w:val="008A42A3"/>
    <w:rsid w:val="008A45D7"/>
    <w:rsid w:val="008A5406"/>
    <w:rsid w:val="008B7C0A"/>
    <w:rsid w:val="008C0425"/>
    <w:rsid w:val="008C3A0C"/>
    <w:rsid w:val="008D1E76"/>
    <w:rsid w:val="008D2603"/>
    <w:rsid w:val="008D2B35"/>
    <w:rsid w:val="008D7AB3"/>
    <w:rsid w:val="008E3781"/>
    <w:rsid w:val="008E3B03"/>
    <w:rsid w:val="008E419F"/>
    <w:rsid w:val="008F3909"/>
    <w:rsid w:val="008F41F9"/>
    <w:rsid w:val="008F4A1C"/>
    <w:rsid w:val="008F6945"/>
    <w:rsid w:val="008F7E58"/>
    <w:rsid w:val="008F7FBD"/>
    <w:rsid w:val="00900F0C"/>
    <w:rsid w:val="0090585B"/>
    <w:rsid w:val="009102D0"/>
    <w:rsid w:val="00910952"/>
    <w:rsid w:val="00912BB7"/>
    <w:rsid w:val="00914711"/>
    <w:rsid w:val="009158E3"/>
    <w:rsid w:val="00922DAB"/>
    <w:rsid w:val="00922F88"/>
    <w:rsid w:val="00924B13"/>
    <w:rsid w:val="009313BD"/>
    <w:rsid w:val="00932AB2"/>
    <w:rsid w:val="00933B77"/>
    <w:rsid w:val="00935908"/>
    <w:rsid w:val="00946F48"/>
    <w:rsid w:val="00951281"/>
    <w:rsid w:val="0095143E"/>
    <w:rsid w:val="009540DA"/>
    <w:rsid w:val="00954E4C"/>
    <w:rsid w:val="00955BFF"/>
    <w:rsid w:val="00962F81"/>
    <w:rsid w:val="00963AB7"/>
    <w:rsid w:val="00971511"/>
    <w:rsid w:val="00971578"/>
    <w:rsid w:val="00971641"/>
    <w:rsid w:val="00973FDF"/>
    <w:rsid w:val="00976CC0"/>
    <w:rsid w:val="00983933"/>
    <w:rsid w:val="00984015"/>
    <w:rsid w:val="009856E6"/>
    <w:rsid w:val="00993FF2"/>
    <w:rsid w:val="0099549D"/>
    <w:rsid w:val="00996FA8"/>
    <w:rsid w:val="009A2079"/>
    <w:rsid w:val="009A2755"/>
    <w:rsid w:val="009A6C41"/>
    <w:rsid w:val="009A7434"/>
    <w:rsid w:val="009A7B19"/>
    <w:rsid w:val="009B799B"/>
    <w:rsid w:val="009C07AF"/>
    <w:rsid w:val="009C51B9"/>
    <w:rsid w:val="009C6A5B"/>
    <w:rsid w:val="009D0207"/>
    <w:rsid w:val="009D3A43"/>
    <w:rsid w:val="009D55F5"/>
    <w:rsid w:val="009D6C9A"/>
    <w:rsid w:val="009E037E"/>
    <w:rsid w:val="009E0561"/>
    <w:rsid w:val="009E2684"/>
    <w:rsid w:val="009E2782"/>
    <w:rsid w:val="009E4421"/>
    <w:rsid w:val="009E461F"/>
    <w:rsid w:val="009E4E88"/>
    <w:rsid w:val="009E62FB"/>
    <w:rsid w:val="009F02A2"/>
    <w:rsid w:val="009F1255"/>
    <w:rsid w:val="009F180C"/>
    <w:rsid w:val="009F48C3"/>
    <w:rsid w:val="009F5B6C"/>
    <w:rsid w:val="009F74DC"/>
    <w:rsid w:val="00A00059"/>
    <w:rsid w:val="00A052E0"/>
    <w:rsid w:val="00A073C1"/>
    <w:rsid w:val="00A101B3"/>
    <w:rsid w:val="00A104E4"/>
    <w:rsid w:val="00A10B99"/>
    <w:rsid w:val="00A10D66"/>
    <w:rsid w:val="00A110BE"/>
    <w:rsid w:val="00A13C2C"/>
    <w:rsid w:val="00A1547C"/>
    <w:rsid w:val="00A157D0"/>
    <w:rsid w:val="00A16526"/>
    <w:rsid w:val="00A20340"/>
    <w:rsid w:val="00A21551"/>
    <w:rsid w:val="00A21630"/>
    <w:rsid w:val="00A24B18"/>
    <w:rsid w:val="00A259C6"/>
    <w:rsid w:val="00A2634E"/>
    <w:rsid w:val="00A26F1B"/>
    <w:rsid w:val="00A305DF"/>
    <w:rsid w:val="00A30AAA"/>
    <w:rsid w:val="00A324F5"/>
    <w:rsid w:val="00A3286C"/>
    <w:rsid w:val="00A328BE"/>
    <w:rsid w:val="00A32941"/>
    <w:rsid w:val="00A32B96"/>
    <w:rsid w:val="00A33227"/>
    <w:rsid w:val="00A3509E"/>
    <w:rsid w:val="00A40B00"/>
    <w:rsid w:val="00A40F64"/>
    <w:rsid w:val="00A42C4E"/>
    <w:rsid w:val="00A42D97"/>
    <w:rsid w:val="00A432B6"/>
    <w:rsid w:val="00A45F78"/>
    <w:rsid w:val="00A46021"/>
    <w:rsid w:val="00A46C0A"/>
    <w:rsid w:val="00A4781B"/>
    <w:rsid w:val="00A479AE"/>
    <w:rsid w:val="00A47A0D"/>
    <w:rsid w:val="00A501EF"/>
    <w:rsid w:val="00A50BEA"/>
    <w:rsid w:val="00A52EE6"/>
    <w:rsid w:val="00A53CDE"/>
    <w:rsid w:val="00A54C60"/>
    <w:rsid w:val="00A551A6"/>
    <w:rsid w:val="00A55E60"/>
    <w:rsid w:val="00A63493"/>
    <w:rsid w:val="00A668B2"/>
    <w:rsid w:val="00A73681"/>
    <w:rsid w:val="00A74D4A"/>
    <w:rsid w:val="00A77E81"/>
    <w:rsid w:val="00A8157D"/>
    <w:rsid w:val="00A81AD8"/>
    <w:rsid w:val="00A85F49"/>
    <w:rsid w:val="00A861E2"/>
    <w:rsid w:val="00A90749"/>
    <w:rsid w:val="00A90E0A"/>
    <w:rsid w:val="00A91760"/>
    <w:rsid w:val="00A92002"/>
    <w:rsid w:val="00A954F4"/>
    <w:rsid w:val="00A965B5"/>
    <w:rsid w:val="00AA53AA"/>
    <w:rsid w:val="00AA699C"/>
    <w:rsid w:val="00AB30FD"/>
    <w:rsid w:val="00AC0253"/>
    <w:rsid w:val="00AC0798"/>
    <w:rsid w:val="00AC2871"/>
    <w:rsid w:val="00AC4806"/>
    <w:rsid w:val="00AC5923"/>
    <w:rsid w:val="00AC62BA"/>
    <w:rsid w:val="00AC6BB3"/>
    <w:rsid w:val="00AC6CAE"/>
    <w:rsid w:val="00AD3DB7"/>
    <w:rsid w:val="00AD522D"/>
    <w:rsid w:val="00AD5B7A"/>
    <w:rsid w:val="00AD5D2F"/>
    <w:rsid w:val="00AD6301"/>
    <w:rsid w:val="00AD7730"/>
    <w:rsid w:val="00AE034A"/>
    <w:rsid w:val="00AE0E24"/>
    <w:rsid w:val="00AE11BB"/>
    <w:rsid w:val="00AE1D78"/>
    <w:rsid w:val="00AE3657"/>
    <w:rsid w:val="00AE4D34"/>
    <w:rsid w:val="00AE56B4"/>
    <w:rsid w:val="00AE69D2"/>
    <w:rsid w:val="00AF07E8"/>
    <w:rsid w:val="00AF29F2"/>
    <w:rsid w:val="00AF3553"/>
    <w:rsid w:val="00AF4261"/>
    <w:rsid w:val="00AF43D8"/>
    <w:rsid w:val="00AF461B"/>
    <w:rsid w:val="00AF75E1"/>
    <w:rsid w:val="00B00A9C"/>
    <w:rsid w:val="00B01857"/>
    <w:rsid w:val="00B032BB"/>
    <w:rsid w:val="00B07BB9"/>
    <w:rsid w:val="00B11EB4"/>
    <w:rsid w:val="00B11F03"/>
    <w:rsid w:val="00B12DAD"/>
    <w:rsid w:val="00B13DF8"/>
    <w:rsid w:val="00B16CDA"/>
    <w:rsid w:val="00B17E01"/>
    <w:rsid w:val="00B200E3"/>
    <w:rsid w:val="00B22EC5"/>
    <w:rsid w:val="00B24981"/>
    <w:rsid w:val="00B30791"/>
    <w:rsid w:val="00B37352"/>
    <w:rsid w:val="00B37463"/>
    <w:rsid w:val="00B37F20"/>
    <w:rsid w:val="00B4228D"/>
    <w:rsid w:val="00B433AA"/>
    <w:rsid w:val="00B455B0"/>
    <w:rsid w:val="00B45784"/>
    <w:rsid w:val="00B51FA5"/>
    <w:rsid w:val="00B54300"/>
    <w:rsid w:val="00B54458"/>
    <w:rsid w:val="00B5682A"/>
    <w:rsid w:val="00B61473"/>
    <w:rsid w:val="00B623A9"/>
    <w:rsid w:val="00B64E42"/>
    <w:rsid w:val="00B65413"/>
    <w:rsid w:val="00B661BD"/>
    <w:rsid w:val="00B66BBF"/>
    <w:rsid w:val="00B7073F"/>
    <w:rsid w:val="00B71EED"/>
    <w:rsid w:val="00B72949"/>
    <w:rsid w:val="00B74100"/>
    <w:rsid w:val="00B746EF"/>
    <w:rsid w:val="00B77356"/>
    <w:rsid w:val="00B806C8"/>
    <w:rsid w:val="00B81F0D"/>
    <w:rsid w:val="00B835B9"/>
    <w:rsid w:val="00B84345"/>
    <w:rsid w:val="00B8479C"/>
    <w:rsid w:val="00B85420"/>
    <w:rsid w:val="00B863BF"/>
    <w:rsid w:val="00B8708E"/>
    <w:rsid w:val="00B95DE5"/>
    <w:rsid w:val="00B96349"/>
    <w:rsid w:val="00BA5B90"/>
    <w:rsid w:val="00BA6A29"/>
    <w:rsid w:val="00BA7568"/>
    <w:rsid w:val="00BB0363"/>
    <w:rsid w:val="00BC3A94"/>
    <w:rsid w:val="00BC66A8"/>
    <w:rsid w:val="00BD2C52"/>
    <w:rsid w:val="00BD5465"/>
    <w:rsid w:val="00BD62E1"/>
    <w:rsid w:val="00BE3BD5"/>
    <w:rsid w:val="00BE4FE3"/>
    <w:rsid w:val="00BE6A67"/>
    <w:rsid w:val="00BE6AB5"/>
    <w:rsid w:val="00BF424F"/>
    <w:rsid w:val="00BF44E8"/>
    <w:rsid w:val="00BF6A18"/>
    <w:rsid w:val="00BF7567"/>
    <w:rsid w:val="00BF7AC4"/>
    <w:rsid w:val="00C12F0F"/>
    <w:rsid w:val="00C14124"/>
    <w:rsid w:val="00C1779A"/>
    <w:rsid w:val="00C222A6"/>
    <w:rsid w:val="00C22724"/>
    <w:rsid w:val="00C23AD4"/>
    <w:rsid w:val="00C242C8"/>
    <w:rsid w:val="00C25F2C"/>
    <w:rsid w:val="00C26520"/>
    <w:rsid w:val="00C2710B"/>
    <w:rsid w:val="00C27BF7"/>
    <w:rsid w:val="00C30282"/>
    <w:rsid w:val="00C30648"/>
    <w:rsid w:val="00C31D9B"/>
    <w:rsid w:val="00C35D73"/>
    <w:rsid w:val="00C361C1"/>
    <w:rsid w:val="00C418FA"/>
    <w:rsid w:val="00C449D4"/>
    <w:rsid w:val="00C47907"/>
    <w:rsid w:val="00C47B63"/>
    <w:rsid w:val="00C502D6"/>
    <w:rsid w:val="00C504CD"/>
    <w:rsid w:val="00C51130"/>
    <w:rsid w:val="00C53A1D"/>
    <w:rsid w:val="00C541FB"/>
    <w:rsid w:val="00C57A1E"/>
    <w:rsid w:val="00C63D55"/>
    <w:rsid w:val="00C65FE0"/>
    <w:rsid w:val="00C6751D"/>
    <w:rsid w:val="00C7379E"/>
    <w:rsid w:val="00C74AD8"/>
    <w:rsid w:val="00C82902"/>
    <w:rsid w:val="00C846CD"/>
    <w:rsid w:val="00C86F04"/>
    <w:rsid w:val="00C908A8"/>
    <w:rsid w:val="00C90D8A"/>
    <w:rsid w:val="00C910A4"/>
    <w:rsid w:val="00C92ED2"/>
    <w:rsid w:val="00C94092"/>
    <w:rsid w:val="00C95FD7"/>
    <w:rsid w:val="00CA1F46"/>
    <w:rsid w:val="00CA4F4E"/>
    <w:rsid w:val="00CA575B"/>
    <w:rsid w:val="00CA632D"/>
    <w:rsid w:val="00CA6899"/>
    <w:rsid w:val="00CA703E"/>
    <w:rsid w:val="00CB129A"/>
    <w:rsid w:val="00CB134C"/>
    <w:rsid w:val="00CB2EF2"/>
    <w:rsid w:val="00CB2F9E"/>
    <w:rsid w:val="00CB5F3D"/>
    <w:rsid w:val="00CC1322"/>
    <w:rsid w:val="00CC5009"/>
    <w:rsid w:val="00CC70BB"/>
    <w:rsid w:val="00CC790E"/>
    <w:rsid w:val="00CD3B55"/>
    <w:rsid w:val="00CD6D34"/>
    <w:rsid w:val="00CE12DB"/>
    <w:rsid w:val="00CE3373"/>
    <w:rsid w:val="00CE48FE"/>
    <w:rsid w:val="00CE4C4C"/>
    <w:rsid w:val="00CE5BB3"/>
    <w:rsid w:val="00CE6AA9"/>
    <w:rsid w:val="00CE78CF"/>
    <w:rsid w:val="00CF3229"/>
    <w:rsid w:val="00D02618"/>
    <w:rsid w:val="00D02C32"/>
    <w:rsid w:val="00D03B43"/>
    <w:rsid w:val="00D044DB"/>
    <w:rsid w:val="00D07340"/>
    <w:rsid w:val="00D13A7A"/>
    <w:rsid w:val="00D147F3"/>
    <w:rsid w:val="00D1493E"/>
    <w:rsid w:val="00D25458"/>
    <w:rsid w:val="00D30F3B"/>
    <w:rsid w:val="00D31137"/>
    <w:rsid w:val="00D32420"/>
    <w:rsid w:val="00D3399E"/>
    <w:rsid w:val="00D34D03"/>
    <w:rsid w:val="00D402A1"/>
    <w:rsid w:val="00D421F8"/>
    <w:rsid w:val="00D42A71"/>
    <w:rsid w:val="00D461EA"/>
    <w:rsid w:val="00D46342"/>
    <w:rsid w:val="00D50455"/>
    <w:rsid w:val="00D519FC"/>
    <w:rsid w:val="00D522AA"/>
    <w:rsid w:val="00D525E9"/>
    <w:rsid w:val="00D5479E"/>
    <w:rsid w:val="00D55C34"/>
    <w:rsid w:val="00D625C7"/>
    <w:rsid w:val="00D63A5F"/>
    <w:rsid w:val="00D643DC"/>
    <w:rsid w:val="00D64E26"/>
    <w:rsid w:val="00D65F3D"/>
    <w:rsid w:val="00D66447"/>
    <w:rsid w:val="00D70D78"/>
    <w:rsid w:val="00D80180"/>
    <w:rsid w:val="00D8038E"/>
    <w:rsid w:val="00D82C58"/>
    <w:rsid w:val="00D92AD6"/>
    <w:rsid w:val="00DA2CCD"/>
    <w:rsid w:val="00DA64B7"/>
    <w:rsid w:val="00DA79E1"/>
    <w:rsid w:val="00DB3818"/>
    <w:rsid w:val="00DB3B56"/>
    <w:rsid w:val="00DB5925"/>
    <w:rsid w:val="00DB5D1C"/>
    <w:rsid w:val="00DB65AE"/>
    <w:rsid w:val="00DB7426"/>
    <w:rsid w:val="00DC18C5"/>
    <w:rsid w:val="00DC1A01"/>
    <w:rsid w:val="00DC3CC9"/>
    <w:rsid w:val="00DC3EE8"/>
    <w:rsid w:val="00DC46D2"/>
    <w:rsid w:val="00DC4FBA"/>
    <w:rsid w:val="00DD0190"/>
    <w:rsid w:val="00DD0C36"/>
    <w:rsid w:val="00DD1041"/>
    <w:rsid w:val="00DD7A45"/>
    <w:rsid w:val="00DE032C"/>
    <w:rsid w:val="00DE13F5"/>
    <w:rsid w:val="00DE16FB"/>
    <w:rsid w:val="00DE36F1"/>
    <w:rsid w:val="00DE3BE4"/>
    <w:rsid w:val="00DE4927"/>
    <w:rsid w:val="00DE5A26"/>
    <w:rsid w:val="00DF0E37"/>
    <w:rsid w:val="00DF2794"/>
    <w:rsid w:val="00E00713"/>
    <w:rsid w:val="00E02258"/>
    <w:rsid w:val="00E10906"/>
    <w:rsid w:val="00E201C9"/>
    <w:rsid w:val="00E2274F"/>
    <w:rsid w:val="00E25F2F"/>
    <w:rsid w:val="00E31CF8"/>
    <w:rsid w:val="00E343CD"/>
    <w:rsid w:val="00E3510D"/>
    <w:rsid w:val="00E35AA8"/>
    <w:rsid w:val="00E41CF3"/>
    <w:rsid w:val="00E421E3"/>
    <w:rsid w:val="00E50426"/>
    <w:rsid w:val="00E506D0"/>
    <w:rsid w:val="00E51952"/>
    <w:rsid w:val="00E56C91"/>
    <w:rsid w:val="00E60054"/>
    <w:rsid w:val="00E60A85"/>
    <w:rsid w:val="00E611C4"/>
    <w:rsid w:val="00E640D6"/>
    <w:rsid w:val="00E66A81"/>
    <w:rsid w:val="00E66BDD"/>
    <w:rsid w:val="00E71438"/>
    <w:rsid w:val="00E723D9"/>
    <w:rsid w:val="00E7258D"/>
    <w:rsid w:val="00E72AA1"/>
    <w:rsid w:val="00E72D1B"/>
    <w:rsid w:val="00E732BD"/>
    <w:rsid w:val="00E75555"/>
    <w:rsid w:val="00E75687"/>
    <w:rsid w:val="00E775D0"/>
    <w:rsid w:val="00E8031F"/>
    <w:rsid w:val="00E80790"/>
    <w:rsid w:val="00E812D4"/>
    <w:rsid w:val="00E815BC"/>
    <w:rsid w:val="00E82E2C"/>
    <w:rsid w:val="00E82F4B"/>
    <w:rsid w:val="00E864B1"/>
    <w:rsid w:val="00E90471"/>
    <w:rsid w:val="00E9082C"/>
    <w:rsid w:val="00E90CA7"/>
    <w:rsid w:val="00E94619"/>
    <w:rsid w:val="00E96629"/>
    <w:rsid w:val="00E9788C"/>
    <w:rsid w:val="00EA30D9"/>
    <w:rsid w:val="00EA3A06"/>
    <w:rsid w:val="00EA6108"/>
    <w:rsid w:val="00EB0C4E"/>
    <w:rsid w:val="00EB1D2E"/>
    <w:rsid w:val="00EB249B"/>
    <w:rsid w:val="00EB3AC3"/>
    <w:rsid w:val="00EB4532"/>
    <w:rsid w:val="00EB6415"/>
    <w:rsid w:val="00EB7635"/>
    <w:rsid w:val="00EB7A48"/>
    <w:rsid w:val="00EC26F4"/>
    <w:rsid w:val="00EC2B3F"/>
    <w:rsid w:val="00EC39B6"/>
    <w:rsid w:val="00EC4C45"/>
    <w:rsid w:val="00EC5654"/>
    <w:rsid w:val="00ED0086"/>
    <w:rsid w:val="00ED3AB1"/>
    <w:rsid w:val="00ED3B85"/>
    <w:rsid w:val="00ED483B"/>
    <w:rsid w:val="00EE3961"/>
    <w:rsid w:val="00EE4769"/>
    <w:rsid w:val="00EE73BF"/>
    <w:rsid w:val="00EF1A38"/>
    <w:rsid w:val="00EF3C64"/>
    <w:rsid w:val="00EF416E"/>
    <w:rsid w:val="00F00F16"/>
    <w:rsid w:val="00F017BD"/>
    <w:rsid w:val="00F033B8"/>
    <w:rsid w:val="00F103E0"/>
    <w:rsid w:val="00F1049A"/>
    <w:rsid w:val="00F13F67"/>
    <w:rsid w:val="00F152A6"/>
    <w:rsid w:val="00F204C6"/>
    <w:rsid w:val="00F22D8B"/>
    <w:rsid w:val="00F24C52"/>
    <w:rsid w:val="00F25408"/>
    <w:rsid w:val="00F26A5D"/>
    <w:rsid w:val="00F26F2A"/>
    <w:rsid w:val="00F30A80"/>
    <w:rsid w:val="00F31929"/>
    <w:rsid w:val="00F3224D"/>
    <w:rsid w:val="00F33A23"/>
    <w:rsid w:val="00F350FD"/>
    <w:rsid w:val="00F359EE"/>
    <w:rsid w:val="00F37281"/>
    <w:rsid w:val="00F37872"/>
    <w:rsid w:val="00F41DF3"/>
    <w:rsid w:val="00F42E54"/>
    <w:rsid w:val="00F4573E"/>
    <w:rsid w:val="00F46913"/>
    <w:rsid w:val="00F474A5"/>
    <w:rsid w:val="00F511C9"/>
    <w:rsid w:val="00F52AB2"/>
    <w:rsid w:val="00F52CE1"/>
    <w:rsid w:val="00F53552"/>
    <w:rsid w:val="00F5538A"/>
    <w:rsid w:val="00F57AA7"/>
    <w:rsid w:val="00F57F3F"/>
    <w:rsid w:val="00F6078F"/>
    <w:rsid w:val="00F615C7"/>
    <w:rsid w:val="00F62C74"/>
    <w:rsid w:val="00F63909"/>
    <w:rsid w:val="00F63C2C"/>
    <w:rsid w:val="00F65065"/>
    <w:rsid w:val="00F65695"/>
    <w:rsid w:val="00F65FC6"/>
    <w:rsid w:val="00F71037"/>
    <w:rsid w:val="00F72184"/>
    <w:rsid w:val="00F72F13"/>
    <w:rsid w:val="00F73D48"/>
    <w:rsid w:val="00F756C5"/>
    <w:rsid w:val="00F80BA6"/>
    <w:rsid w:val="00F81604"/>
    <w:rsid w:val="00F82BA9"/>
    <w:rsid w:val="00F8498D"/>
    <w:rsid w:val="00F84CDD"/>
    <w:rsid w:val="00F8503F"/>
    <w:rsid w:val="00F85793"/>
    <w:rsid w:val="00F91937"/>
    <w:rsid w:val="00F919D4"/>
    <w:rsid w:val="00F94D11"/>
    <w:rsid w:val="00F95485"/>
    <w:rsid w:val="00FA2FC3"/>
    <w:rsid w:val="00FA7337"/>
    <w:rsid w:val="00FA7CBC"/>
    <w:rsid w:val="00FA7D67"/>
    <w:rsid w:val="00FB0B20"/>
    <w:rsid w:val="00FB0D02"/>
    <w:rsid w:val="00FB31BD"/>
    <w:rsid w:val="00FB6820"/>
    <w:rsid w:val="00FB6BE8"/>
    <w:rsid w:val="00FC17E5"/>
    <w:rsid w:val="00FC6A50"/>
    <w:rsid w:val="00FD29E8"/>
    <w:rsid w:val="00FD6315"/>
    <w:rsid w:val="00FE00E2"/>
    <w:rsid w:val="00FE03BB"/>
    <w:rsid w:val="00FE0E6D"/>
    <w:rsid w:val="00FE0F9D"/>
    <w:rsid w:val="00FE11C9"/>
    <w:rsid w:val="00FE1F6E"/>
    <w:rsid w:val="00FE5B4D"/>
    <w:rsid w:val="00FE6E4B"/>
    <w:rsid w:val="00FE73AB"/>
    <w:rsid w:val="00FF0E2B"/>
    <w:rsid w:val="00FF45D0"/>
    <w:rsid w:val="00FF4C04"/>
    <w:rsid w:val="00FF5D4D"/>
    <w:rsid w:val="42F01E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4FCDD"/>
  <w15:docId w15:val="{42C0E38E-048A-402E-B7B7-DD05B56A2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line="300" w:lineRule="auto"/>
      <w:jc w:val="both"/>
    </w:pPr>
    <w:rPr>
      <w:kern w:val="2"/>
      <w:sz w:val="24"/>
    </w:rPr>
  </w:style>
  <w:style w:type="paragraph" w:styleId="1">
    <w:name w:val="heading 1"/>
    <w:basedOn w:val="a1"/>
    <w:next w:val="a1"/>
    <w:qFormat/>
    <w:pPr>
      <w:keepNext/>
      <w:keepLines/>
      <w:spacing w:before="340" w:after="330" w:line="578" w:lineRule="auto"/>
      <w:outlineLvl w:val="0"/>
    </w:pPr>
    <w:rPr>
      <w:b/>
      <w:kern w:val="44"/>
      <w:sz w:val="44"/>
    </w:rPr>
  </w:style>
  <w:style w:type="paragraph" w:styleId="2">
    <w:name w:val="heading 2"/>
    <w:basedOn w:val="a1"/>
    <w:next w:val="a2"/>
    <w:qFormat/>
    <w:pPr>
      <w:keepNext/>
      <w:outlineLvl w:val="1"/>
    </w:pPr>
    <w:rPr>
      <w:sz w:val="28"/>
    </w:rPr>
  </w:style>
  <w:style w:type="paragraph" w:styleId="3">
    <w:name w:val="heading 3"/>
    <w:basedOn w:val="a1"/>
    <w:next w:val="a1"/>
    <w:qFormat/>
    <w:pPr>
      <w:keepNext/>
      <w:keepLines/>
      <w:spacing w:before="260" w:after="260" w:line="416" w:lineRule="auto"/>
      <w:outlineLvl w:val="2"/>
    </w:pPr>
    <w:rPr>
      <w:b/>
      <w:sz w:val="32"/>
    </w:rPr>
  </w:style>
  <w:style w:type="paragraph" w:styleId="4">
    <w:name w:val="heading 4"/>
    <w:basedOn w:val="a1"/>
    <w:next w:val="a1"/>
    <w:qFormat/>
    <w:pPr>
      <w:keepNext/>
      <w:tabs>
        <w:tab w:val="left" w:pos="360"/>
      </w:tabs>
      <w:outlineLvl w:val="3"/>
    </w:pPr>
    <w:rPr>
      <w:b/>
      <w:kern w:val="0"/>
      <w:sz w:val="28"/>
    </w:rPr>
  </w:style>
  <w:style w:type="paragraph" w:styleId="5">
    <w:name w:val="heading 5"/>
    <w:basedOn w:val="a1"/>
    <w:next w:val="a1"/>
    <w:qFormat/>
    <w:pPr>
      <w:keepNext/>
      <w:outlineLvl w:val="4"/>
    </w:pPr>
    <w:rPr>
      <w:color w:val="00FFFF"/>
      <w:u w:val="singl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pPr>
      <w:ind w:firstLine="420"/>
    </w:pPr>
  </w:style>
  <w:style w:type="paragraph" w:styleId="a6">
    <w:name w:val="Document Map"/>
    <w:basedOn w:val="a1"/>
    <w:link w:val="a7"/>
    <w:semiHidden/>
    <w:unhideWhenUsed/>
    <w:rPr>
      <w:rFonts w:ascii="宋体"/>
      <w:sz w:val="18"/>
      <w:szCs w:val="18"/>
    </w:rPr>
  </w:style>
  <w:style w:type="paragraph" w:styleId="30">
    <w:name w:val="Body Text 3"/>
    <w:basedOn w:val="a1"/>
    <w:pPr>
      <w:spacing w:after="120"/>
    </w:pPr>
    <w:rPr>
      <w:sz w:val="16"/>
      <w:szCs w:val="16"/>
    </w:rPr>
  </w:style>
  <w:style w:type="paragraph" w:styleId="a8">
    <w:name w:val="Body Text"/>
    <w:basedOn w:val="a1"/>
    <w:pPr>
      <w:tabs>
        <w:tab w:val="left" w:pos="720"/>
      </w:tabs>
      <w:spacing w:after="120"/>
      <w:ind w:left="720" w:hanging="720"/>
    </w:pPr>
    <w:rPr>
      <w:szCs w:val="24"/>
    </w:rPr>
  </w:style>
  <w:style w:type="paragraph" w:styleId="a9">
    <w:name w:val="Body Text Indent"/>
    <w:basedOn w:val="a1"/>
    <w:pPr>
      <w:spacing w:after="120"/>
      <w:ind w:leftChars="200" w:left="420"/>
    </w:pPr>
  </w:style>
  <w:style w:type="paragraph" w:styleId="TOC3">
    <w:name w:val="toc 3"/>
    <w:basedOn w:val="a1"/>
    <w:next w:val="a1"/>
    <w:autoRedefine/>
    <w:uiPriority w:val="39"/>
    <w:unhideWhenUsed/>
    <w:pPr>
      <w:tabs>
        <w:tab w:val="right" w:leader="dot" w:pos="8787"/>
      </w:tabs>
      <w:jc w:val="left"/>
    </w:pPr>
  </w:style>
  <w:style w:type="paragraph" w:styleId="aa">
    <w:name w:val="Plain Text"/>
    <w:basedOn w:val="a1"/>
    <w:rPr>
      <w:rFonts w:ascii="宋体" w:hAnsi="Courier New"/>
    </w:rPr>
  </w:style>
  <w:style w:type="paragraph" w:styleId="ab">
    <w:name w:val="Date"/>
    <w:basedOn w:val="a1"/>
    <w:next w:val="a1"/>
    <w:pPr>
      <w:ind w:leftChars="2500" w:left="100"/>
    </w:pPr>
  </w:style>
  <w:style w:type="paragraph" w:styleId="ac">
    <w:name w:val="Balloon Text"/>
    <w:basedOn w:val="a1"/>
    <w:semiHidden/>
    <w:rPr>
      <w:sz w:val="18"/>
      <w:szCs w:val="18"/>
    </w:rPr>
  </w:style>
  <w:style w:type="paragraph" w:styleId="ad">
    <w:name w:val="footer"/>
    <w:basedOn w:val="a1"/>
    <w:pPr>
      <w:tabs>
        <w:tab w:val="center" w:pos="4153"/>
        <w:tab w:val="right" w:pos="8306"/>
      </w:tabs>
      <w:snapToGrid w:val="0"/>
      <w:jc w:val="left"/>
    </w:pPr>
    <w:rPr>
      <w:sz w:val="18"/>
    </w:rPr>
  </w:style>
  <w:style w:type="paragraph" w:styleId="ae">
    <w:name w:val="header"/>
    <w:basedOn w:val="a1"/>
    <w:link w:val="af"/>
    <w:qFormat/>
    <w:pPr>
      <w:pBdr>
        <w:bottom w:val="single" w:sz="6" w:space="1" w:color="auto"/>
      </w:pBdr>
      <w:tabs>
        <w:tab w:val="center" w:pos="4153"/>
        <w:tab w:val="right" w:pos="8306"/>
      </w:tabs>
      <w:snapToGrid w:val="0"/>
      <w:jc w:val="center"/>
    </w:pPr>
    <w:rPr>
      <w:sz w:val="18"/>
    </w:rPr>
  </w:style>
  <w:style w:type="paragraph" w:styleId="TOC1">
    <w:name w:val="toc 1"/>
    <w:basedOn w:val="a1"/>
    <w:next w:val="a1"/>
    <w:autoRedefine/>
    <w:uiPriority w:val="39"/>
    <w:pPr>
      <w:spacing w:beforeLines="50" w:afterLines="50"/>
    </w:pPr>
  </w:style>
  <w:style w:type="paragraph" w:styleId="TOC2">
    <w:name w:val="toc 2"/>
    <w:basedOn w:val="a1"/>
    <w:next w:val="a1"/>
    <w:autoRedefine/>
    <w:uiPriority w:val="39"/>
  </w:style>
  <w:style w:type="paragraph" w:styleId="af0">
    <w:name w:val="Normal (Web)"/>
    <w:basedOn w:val="a1"/>
    <w:pPr>
      <w:widowControl/>
      <w:spacing w:before="100" w:beforeAutospacing="1" w:after="100" w:afterAutospacing="1"/>
      <w:jc w:val="left"/>
    </w:pPr>
    <w:rPr>
      <w:kern w:val="0"/>
      <w:szCs w:val="24"/>
    </w:rPr>
  </w:style>
  <w:style w:type="table" w:styleId="af1">
    <w:name w:val="Table Grid"/>
    <w:basedOn w:val="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3"/>
  </w:style>
  <w:style w:type="character" w:styleId="af3">
    <w:name w:val="Hyperlink"/>
    <w:basedOn w:val="a3"/>
    <w:uiPriority w:val="99"/>
    <w:unhideWhenUsed/>
    <w:rPr>
      <w:color w:val="0000FF" w:themeColor="hyperlink"/>
      <w:u w:val="single"/>
    </w:rPr>
  </w:style>
  <w:style w:type="table" w:customStyle="1" w:styleId="10">
    <w:name w:val="网格型1"/>
    <w:basedOn w:val="a4"/>
    <w:pPr>
      <w:widowControl w:val="0"/>
      <w:overflowPunct w:val="0"/>
      <w:autoSpaceDE w:val="0"/>
      <w:autoSpaceDN w:val="0"/>
      <w:adjustRightInd w:val="0"/>
      <w:spacing w:line="300" w:lineRule="auto"/>
      <w:ind w:firstLine="51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页眉 字符"/>
    <w:link w:val="ae"/>
    <w:rPr>
      <w:kern w:val="2"/>
      <w:sz w:val="18"/>
    </w:rPr>
  </w:style>
  <w:style w:type="paragraph" w:customStyle="1" w:styleId="Char1">
    <w:name w:val="Char1"/>
    <w:basedOn w:val="a1"/>
    <w:rPr>
      <w:szCs w:val="24"/>
    </w:rPr>
  </w:style>
  <w:style w:type="paragraph" w:customStyle="1" w:styleId="af4">
    <w:name w:val="一级条标题"/>
    <w:next w:val="a1"/>
    <w:autoRedefine/>
    <w:qFormat/>
    <w:pPr>
      <w:spacing w:beforeLines="50" w:afterLines="50"/>
      <w:outlineLvl w:val="2"/>
    </w:pPr>
    <w:rPr>
      <w:rFonts w:ascii="黑体" w:eastAsia="黑体"/>
      <w:sz w:val="21"/>
      <w:szCs w:val="21"/>
    </w:rPr>
  </w:style>
  <w:style w:type="paragraph" w:customStyle="1" w:styleId="a">
    <w:name w:val="章标题"/>
    <w:next w:val="a1"/>
    <w:autoRedefine/>
    <w:qFormat/>
    <w:pPr>
      <w:numPr>
        <w:numId w:val="1"/>
      </w:numPr>
      <w:spacing w:beforeLines="100" w:afterLines="100"/>
      <w:jc w:val="both"/>
      <w:outlineLvl w:val="1"/>
    </w:pPr>
    <w:rPr>
      <w:rFonts w:eastAsia="黑体"/>
      <w:sz w:val="21"/>
    </w:rPr>
  </w:style>
  <w:style w:type="paragraph" w:customStyle="1" w:styleId="af5">
    <w:name w:val="二级条标题"/>
    <w:basedOn w:val="af4"/>
    <w:next w:val="a1"/>
    <w:qFormat/>
    <w:pPr>
      <w:spacing w:before="50" w:after="50"/>
      <w:outlineLvl w:val="3"/>
    </w:pPr>
  </w:style>
  <w:style w:type="paragraph" w:customStyle="1" w:styleId="af6">
    <w:name w:val="三级条标题"/>
    <w:basedOn w:val="af5"/>
    <w:next w:val="a1"/>
    <w:autoRedefine/>
    <w:qFormat/>
    <w:pPr>
      <w:outlineLvl w:val="4"/>
    </w:pPr>
  </w:style>
  <w:style w:type="paragraph" w:customStyle="1" w:styleId="af7">
    <w:name w:val="四级条标题"/>
    <w:basedOn w:val="af6"/>
    <w:next w:val="a1"/>
    <w:autoRedefine/>
    <w:qFormat/>
    <w:pPr>
      <w:outlineLvl w:val="5"/>
    </w:pPr>
  </w:style>
  <w:style w:type="paragraph" w:customStyle="1" w:styleId="af8">
    <w:name w:val="五级条标题"/>
    <w:basedOn w:val="af7"/>
    <w:next w:val="a1"/>
    <w:autoRedefine/>
    <w:qFormat/>
    <w:pPr>
      <w:outlineLvl w:val="6"/>
    </w:pPr>
  </w:style>
  <w:style w:type="paragraph" w:customStyle="1" w:styleId="a0">
    <w:name w:val="标准"/>
    <w:basedOn w:val="a"/>
    <w:link w:val="Char"/>
    <w:autoRedefine/>
    <w:qFormat/>
    <w:pPr>
      <w:numPr>
        <w:numId w:val="2"/>
      </w:numPr>
      <w:spacing w:before="312" w:after="312"/>
    </w:pPr>
    <w:rPr>
      <w:rFonts w:eastAsiaTheme="minorEastAsia" w:hAnsiTheme="minorEastAsia"/>
    </w:rPr>
  </w:style>
  <w:style w:type="character" w:customStyle="1" w:styleId="Char">
    <w:name w:val="标准 Char"/>
    <w:basedOn w:val="a3"/>
    <w:link w:val="a0"/>
    <w:autoRedefine/>
    <w:qFormat/>
    <w:rPr>
      <w:rFonts w:eastAsiaTheme="minorEastAsia" w:hAnsiTheme="minorEastAsia"/>
      <w:sz w:val="21"/>
    </w:rPr>
  </w:style>
  <w:style w:type="character" w:customStyle="1" w:styleId="a7">
    <w:name w:val="文档结构图 字符"/>
    <w:basedOn w:val="a3"/>
    <w:link w:val="a6"/>
    <w:semiHidden/>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139EB-7C0A-4833-8A37-1DC70579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巴基斯坦恰希玛核电站工程</dc:title>
  <dc:creator>tq</dc:creator>
  <dc:description>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</dc:description>
  <cp:lastModifiedBy>YU LUAN</cp:lastModifiedBy>
  <cp:revision>2</cp:revision>
  <cp:lastPrinted>2015-06-09T07:27:00Z</cp:lastPrinted>
  <dcterms:created xsi:type="dcterms:W3CDTF">2025-10-21T13:49:00Z</dcterms:created>
  <dcterms:modified xsi:type="dcterms:W3CDTF">2025-10-21T13:49:00Z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EFF4307A5F334090B7562480D97777EB_13</vt:lpwstr>
  </property>
</Properties>
</file>